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280" w:rsidRPr="00A669BF" w:rsidRDefault="00A81280" w:rsidP="00A81280">
      <w:pPr>
        <w:keepNext/>
        <w:spacing w:before="120"/>
        <w:jc w:val="center"/>
        <w:rPr>
          <w:b/>
          <w:sz w:val="28"/>
          <w:szCs w:val="28"/>
        </w:rPr>
      </w:pPr>
      <w:r w:rsidRPr="00A669BF">
        <w:rPr>
          <w:b/>
          <w:sz w:val="28"/>
          <w:szCs w:val="28"/>
        </w:rPr>
        <w:t>Phụ lục 2. Phân loại mức đóng gói hàng công nghiệp nguy hiểm</w:t>
      </w:r>
    </w:p>
    <w:p w:rsidR="00A81280" w:rsidRDefault="00A81280" w:rsidP="00A81280">
      <w:pPr>
        <w:spacing w:after="120"/>
        <w:jc w:val="center"/>
        <w:rPr>
          <w:sz w:val="28"/>
          <w:szCs w:val="28"/>
        </w:rPr>
      </w:pPr>
      <w:r>
        <w:rPr>
          <w:i/>
          <w:iCs/>
          <w:noProof/>
          <w:sz w:val="28"/>
          <w:szCs w:val="28"/>
        </w:rPr>
        <w:pict>
          <v:line id="_x0000_s1026" style="position:absolute;left:0;text-align:left;z-index:251657728" from="154pt,36.6pt" to="287pt,36.6pt"/>
        </w:pict>
      </w:r>
      <w:r w:rsidRPr="0075360D">
        <w:rPr>
          <w:i/>
          <w:iCs/>
          <w:sz w:val="28"/>
          <w:szCs w:val="28"/>
        </w:rPr>
        <w:t xml:space="preserve">(Kèm theo Thông tư số </w:t>
      </w:r>
      <w:r>
        <w:rPr>
          <w:sz w:val="28"/>
          <w:szCs w:val="28"/>
        </w:rPr>
        <w:t xml:space="preserve">      </w:t>
      </w:r>
      <w:r w:rsidRPr="0075360D">
        <w:rPr>
          <w:sz w:val="28"/>
          <w:szCs w:val="28"/>
        </w:rPr>
        <w:t xml:space="preserve">/2012/TT-BCT </w:t>
      </w:r>
      <w:r w:rsidRPr="0075360D">
        <w:rPr>
          <w:i/>
          <w:iCs/>
          <w:sz w:val="28"/>
          <w:szCs w:val="28"/>
        </w:rPr>
        <w:t xml:space="preserve">ngày  </w:t>
      </w:r>
      <w:r>
        <w:rPr>
          <w:i/>
          <w:iCs/>
          <w:sz w:val="28"/>
          <w:szCs w:val="28"/>
        </w:rPr>
        <w:t xml:space="preserve"> </w:t>
      </w:r>
      <w:r w:rsidRPr="0075360D">
        <w:rPr>
          <w:i/>
          <w:iCs/>
          <w:sz w:val="28"/>
          <w:szCs w:val="28"/>
        </w:rPr>
        <w:t xml:space="preserve"> tháng</w:t>
      </w:r>
      <w:r>
        <w:rPr>
          <w:i/>
          <w:iCs/>
          <w:sz w:val="28"/>
          <w:szCs w:val="28"/>
        </w:rPr>
        <w:t xml:space="preserve">  </w:t>
      </w:r>
      <w:r w:rsidRPr="0075360D">
        <w:rPr>
          <w:i/>
          <w:iCs/>
          <w:sz w:val="28"/>
          <w:szCs w:val="28"/>
        </w:rPr>
        <w:t xml:space="preserve">  năm 2012 của Bộ trưởng Bộ CôngTh</w:t>
      </w:r>
      <w:r w:rsidRPr="0075360D">
        <w:rPr>
          <w:rFonts w:hint="eastAsia"/>
          <w:i/>
          <w:iCs/>
          <w:sz w:val="28"/>
          <w:szCs w:val="28"/>
        </w:rPr>
        <w:t>ươ</w:t>
      </w:r>
      <w:r w:rsidRPr="0075360D">
        <w:rPr>
          <w:i/>
          <w:iCs/>
          <w:sz w:val="28"/>
          <w:szCs w:val="28"/>
        </w:rPr>
        <w:t>ng)</w:t>
      </w:r>
    </w:p>
    <w:p w:rsidR="00A81280" w:rsidRDefault="00A81280" w:rsidP="00A81280">
      <w:pPr>
        <w:spacing w:after="120"/>
        <w:jc w:val="both"/>
        <w:rPr>
          <w:sz w:val="28"/>
          <w:szCs w:val="28"/>
        </w:rPr>
      </w:pPr>
    </w:p>
    <w:p w:rsidR="00A81280" w:rsidRPr="000301C3" w:rsidRDefault="00A81280" w:rsidP="00A81280">
      <w:pPr>
        <w:spacing w:after="120"/>
        <w:ind w:firstLine="700"/>
        <w:jc w:val="both"/>
        <w:rPr>
          <w:b/>
          <w:sz w:val="28"/>
          <w:szCs w:val="28"/>
        </w:rPr>
      </w:pPr>
      <w:r w:rsidRPr="000301C3">
        <w:rPr>
          <w:b/>
          <w:sz w:val="28"/>
          <w:szCs w:val="28"/>
        </w:rPr>
        <w:t>1. Chất lỏng dễ cháy</w:t>
      </w:r>
    </w:p>
    <w:p w:rsidR="00A81280" w:rsidRPr="00F94953" w:rsidRDefault="00A81280" w:rsidP="00A81280">
      <w:pPr>
        <w:spacing w:after="120"/>
        <w:ind w:firstLine="700"/>
        <w:jc w:val="both"/>
        <w:rPr>
          <w:sz w:val="28"/>
          <w:szCs w:val="28"/>
        </w:rPr>
      </w:pPr>
      <w:r>
        <w:rPr>
          <w:sz w:val="28"/>
          <w:szCs w:val="28"/>
        </w:rPr>
        <w:t xml:space="preserve">a) </w:t>
      </w:r>
      <w:r w:rsidRPr="00F94953">
        <w:rPr>
          <w:sz w:val="28"/>
          <w:szCs w:val="28"/>
        </w:rPr>
        <w:t>Chất lỏng dễ cháy được đóng gói theo quy định sau đây: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3920"/>
        <w:gridCol w:w="2316"/>
      </w:tblGrid>
      <w:tr w:rsidR="00A81280" w:rsidRPr="00B233C9">
        <w:tc>
          <w:tcPr>
            <w:tcW w:w="2660" w:type="dxa"/>
          </w:tcPr>
          <w:p w:rsidR="00A81280" w:rsidRPr="00B233C9" w:rsidRDefault="00A81280" w:rsidP="00A81280">
            <w:pPr>
              <w:spacing w:after="120"/>
              <w:jc w:val="center"/>
              <w:rPr>
                <w:b/>
                <w:sz w:val="28"/>
                <w:szCs w:val="28"/>
              </w:rPr>
            </w:pPr>
            <w:r w:rsidRPr="00B233C9">
              <w:rPr>
                <w:b/>
                <w:sz w:val="28"/>
                <w:szCs w:val="28"/>
              </w:rPr>
              <w:t>Nhóm đóng gói</w:t>
            </w:r>
          </w:p>
        </w:tc>
        <w:tc>
          <w:tcPr>
            <w:tcW w:w="3920" w:type="dxa"/>
          </w:tcPr>
          <w:p w:rsidR="00A81280" w:rsidRPr="00B233C9" w:rsidRDefault="00A81280" w:rsidP="00A81280">
            <w:pPr>
              <w:spacing w:after="120"/>
              <w:jc w:val="center"/>
              <w:rPr>
                <w:b/>
                <w:sz w:val="28"/>
                <w:szCs w:val="28"/>
              </w:rPr>
            </w:pPr>
            <w:r w:rsidRPr="00B233C9">
              <w:rPr>
                <w:b/>
                <w:sz w:val="28"/>
                <w:szCs w:val="28"/>
              </w:rPr>
              <w:t>Nhiệt độ chớp cháy cốc kín</w:t>
            </w:r>
          </w:p>
        </w:tc>
        <w:tc>
          <w:tcPr>
            <w:tcW w:w="2316" w:type="dxa"/>
          </w:tcPr>
          <w:p w:rsidR="00A81280" w:rsidRPr="00B233C9" w:rsidRDefault="00A81280" w:rsidP="00A81280">
            <w:pPr>
              <w:spacing w:after="120"/>
              <w:jc w:val="center"/>
              <w:rPr>
                <w:b/>
                <w:sz w:val="28"/>
                <w:szCs w:val="28"/>
              </w:rPr>
            </w:pPr>
            <w:r w:rsidRPr="00B233C9">
              <w:rPr>
                <w:b/>
                <w:sz w:val="28"/>
                <w:szCs w:val="28"/>
              </w:rPr>
              <w:t>Điểm sôi bắt đầu</w:t>
            </w:r>
          </w:p>
        </w:tc>
      </w:tr>
      <w:tr w:rsidR="00A81280" w:rsidRPr="00B233C9">
        <w:tc>
          <w:tcPr>
            <w:tcW w:w="2660" w:type="dxa"/>
          </w:tcPr>
          <w:p w:rsidR="00A81280" w:rsidRPr="00B233C9" w:rsidRDefault="00A81280" w:rsidP="00A81280">
            <w:pPr>
              <w:spacing w:after="120"/>
              <w:jc w:val="center"/>
              <w:rPr>
                <w:sz w:val="28"/>
                <w:szCs w:val="28"/>
              </w:rPr>
            </w:pPr>
            <w:r w:rsidRPr="00B233C9">
              <w:rPr>
                <w:sz w:val="28"/>
                <w:szCs w:val="28"/>
              </w:rPr>
              <w:t>I</w:t>
            </w:r>
          </w:p>
        </w:tc>
        <w:tc>
          <w:tcPr>
            <w:tcW w:w="3920" w:type="dxa"/>
          </w:tcPr>
          <w:p w:rsidR="00A81280" w:rsidRPr="00B233C9" w:rsidRDefault="00A81280" w:rsidP="00A81280">
            <w:pPr>
              <w:spacing w:after="120"/>
              <w:jc w:val="center"/>
              <w:rPr>
                <w:sz w:val="28"/>
                <w:szCs w:val="28"/>
              </w:rPr>
            </w:pPr>
            <w:r w:rsidRPr="00B233C9">
              <w:rPr>
                <w:sz w:val="28"/>
                <w:szCs w:val="28"/>
              </w:rPr>
              <w:t>-</w:t>
            </w:r>
          </w:p>
        </w:tc>
        <w:tc>
          <w:tcPr>
            <w:tcW w:w="2316" w:type="dxa"/>
          </w:tcPr>
          <w:p w:rsidR="00A81280" w:rsidRPr="00B233C9" w:rsidRDefault="00A81280" w:rsidP="00A81280">
            <w:pPr>
              <w:spacing w:after="120"/>
              <w:jc w:val="center"/>
              <w:rPr>
                <w:sz w:val="28"/>
                <w:szCs w:val="28"/>
              </w:rPr>
            </w:pPr>
            <w:r w:rsidRPr="00B233C9">
              <w:rPr>
                <w:sz w:val="28"/>
                <w:szCs w:val="28"/>
              </w:rPr>
              <w:sym w:font="Symbol" w:char="F0A3"/>
            </w:r>
            <w:r w:rsidRPr="00B233C9">
              <w:rPr>
                <w:sz w:val="28"/>
                <w:szCs w:val="28"/>
              </w:rPr>
              <w:t xml:space="preserve"> 35</w:t>
            </w:r>
            <w:r w:rsidRPr="00B233C9">
              <w:rPr>
                <w:sz w:val="28"/>
                <w:szCs w:val="28"/>
                <w:vertAlign w:val="superscript"/>
              </w:rPr>
              <w:t>0</w:t>
            </w:r>
            <w:r w:rsidRPr="00B233C9">
              <w:rPr>
                <w:sz w:val="28"/>
                <w:szCs w:val="28"/>
              </w:rPr>
              <w:t>C</w:t>
            </w:r>
          </w:p>
        </w:tc>
      </w:tr>
      <w:tr w:rsidR="00A81280" w:rsidRPr="00B233C9">
        <w:tc>
          <w:tcPr>
            <w:tcW w:w="2660" w:type="dxa"/>
          </w:tcPr>
          <w:p w:rsidR="00A81280" w:rsidRPr="00B233C9" w:rsidRDefault="00A81280" w:rsidP="00A81280">
            <w:pPr>
              <w:spacing w:after="120"/>
              <w:jc w:val="center"/>
              <w:rPr>
                <w:sz w:val="28"/>
                <w:szCs w:val="28"/>
              </w:rPr>
            </w:pPr>
            <w:r w:rsidRPr="00B233C9">
              <w:rPr>
                <w:sz w:val="28"/>
                <w:szCs w:val="28"/>
              </w:rPr>
              <w:t>II</w:t>
            </w:r>
          </w:p>
        </w:tc>
        <w:tc>
          <w:tcPr>
            <w:tcW w:w="3920" w:type="dxa"/>
          </w:tcPr>
          <w:p w:rsidR="00A81280" w:rsidRPr="00B233C9" w:rsidRDefault="00A81280" w:rsidP="00A81280">
            <w:pPr>
              <w:spacing w:after="120"/>
              <w:jc w:val="center"/>
              <w:rPr>
                <w:sz w:val="28"/>
                <w:szCs w:val="28"/>
                <w:vertAlign w:val="superscript"/>
              </w:rPr>
            </w:pPr>
            <w:r w:rsidRPr="00B233C9">
              <w:rPr>
                <w:sz w:val="28"/>
                <w:szCs w:val="28"/>
              </w:rPr>
              <w:sym w:font="Symbol" w:char="F0A3"/>
            </w:r>
            <w:r w:rsidRPr="00B233C9">
              <w:rPr>
                <w:sz w:val="28"/>
                <w:szCs w:val="28"/>
              </w:rPr>
              <w:t xml:space="preserve"> 23</w:t>
            </w:r>
            <w:r w:rsidRPr="00B233C9">
              <w:rPr>
                <w:sz w:val="28"/>
                <w:szCs w:val="28"/>
                <w:vertAlign w:val="superscript"/>
              </w:rPr>
              <w:t>0</w:t>
            </w:r>
            <w:r w:rsidRPr="00B233C9">
              <w:rPr>
                <w:sz w:val="28"/>
                <w:szCs w:val="28"/>
              </w:rPr>
              <w:t>C</w:t>
            </w:r>
          </w:p>
        </w:tc>
        <w:tc>
          <w:tcPr>
            <w:tcW w:w="2316" w:type="dxa"/>
          </w:tcPr>
          <w:p w:rsidR="00A81280" w:rsidRPr="00B233C9" w:rsidRDefault="00A81280" w:rsidP="00A81280">
            <w:pPr>
              <w:spacing w:after="120"/>
              <w:jc w:val="center"/>
              <w:rPr>
                <w:sz w:val="28"/>
                <w:szCs w:val="28"/>
              </w:rPr>
            </w:pPr>
            <w:r w:rsidRPr="00B233C9">
              <w:rPr>
                <w:sz w:val="28"/>
                <w:szCs w:val="28"/>
              </w:rPr>
              <w:t>&gt; 35</w:t>
            </w:r>
            <w:r w:rsidRPr="00B233C9">
              <w:rPr>
                <w:sz w:val="28"/>
                <w:szCs w:val="28"/>
                <w:vertAlign w:val="superscript"/>
              </w:rPr>
              <w:t>0</w:t>
            </w:r>
            <w:r w:rsidRPr="00B233C9">
              <w:rPr>
                <w:sz w:val="28"/>
                <w:szCs w:val="28"/>
              </w:rPr>
              <w:t>C</w:t>
            </w:r>
          </w:p>
        </w:tc>
      </w:tr>
      <w:tr w:rsidR="00A81280" w:rsidRPr="00B233C9">
        <w:tc>
          <w:tcPr>
            <w:tcW w:w="2660" w:type="dxa"/>
          </w:tcPr>
          <w:p w:rsidR="00A81280" w:rsidRPr="00B233C9" w:rsidRDefault="00A81280" w:rsidP="00A81280">
            <w:pPr>
              <w:spacing w:after="120"/>
              <w:jc w:val="center"/>
              <w:rPr>
                <w:sz w:val="28"/>
                <w:szCs w:val="28"/>
              </w:rPr>
            </w:pPr>
            <w:r w:rsidRPr="00B233C9">
              <w:rPr>
                <w:sz w:val="28"/>
                <w:szCs w:val="28"/>
              </w:rPr>
              <w:t>III</w:t>
            </w:r>
          </w:p>
        </w:tc>
        <w:tc>
          <w:tcPr>
            <w:tcW w:w="3920" w:type="dxa"/>
          </w:tcPr>
          <w:p w:rsidR="00A81280" w:rsidRPr="00B233C9" w:rsidRDefault="00A81280" w:rsidP="00A81280">
            <w:pPr>
              <w:spacing w:after="120"/>
              <w:jc w:val="center"/>
              <w:rPr>
                <w:sz w:val="28"/>
                <w:szCs w:val="28"/>
              </w:rPr>
            </w:pPr>
            <w:r w:rsidRPr="00B233C9">
              <w:rPr>
                <w:sz w:val="28"/>
                <w:szCs w:val="28"/>
              </w:rPr>
              <w:sym w:font="Symbol" w:char="F0B3"/>
            </w:r>
            <w:r w:rsidRPr="00B233C9">
              <w:rPr>
                <w:sz w:val="28"/>
                <w:szCs w:val="28"/>
              </w:rPr>
              <w:t xml:space="preserve"> 23</w:t>
            </w:r>
            <w:r w:rsidRPr="00B233C9">
              <w:rPr>
                <w:sz w:val="28"/>
                <w:szCs w:val="28"/>
                <w:vertAlign w:val="superscript"/>
              </w:rPr>
              <w:t>0</w:t>
            </w:r>
            <w:r w:rsidRPr="00B233C9">
              <w:rPr>
                <w:sz w:val="28"/>
                <w:szCs w:val="28"/>
              </w:rPr>
              <w:t xml:space="preserve">C </w:t>
            </w:r>
            <w:r w:rsidRPr="00B233C9">
              <w:rPr>
                <w:sz w:val="28"/>
                <w:szCs w:val="28"/>
              </w:rPr>
              <w:sym w:font="Symbol" w:char="F0A3"/>
            </w:r>
            <w:r w:rsidRPr="00B233C9">
              <w:rPr>
                <w:sz w:val="28"/>
                <w:szCs w:val="28"/>
              </w:rPr>
              <w:t xml:space="preserve"> 60</w:t>
            </w:r>
            <w:r w:rsidRPr="00B233C9">
              <w:rPr>
                <w:sz w:val="28"/>
                <w:szCs w:val="28"/>
                <w:vertAlign w:val="superscript"/>
              </w:rPr>
              <w:t>0</w:t>
            </w:r>
            <w:r w:rsidRPr="00B233C9">
              <w:rPr>
                <w:sz w:val="28"/>
                <w:szCs w:val="28"/>
              </w:rPr>
              <w:t>C</w:t>
            </w:r>
          </w:p>
        </w:tc>
        <w:tc>
          <w:tcPr>
            <w:tcW w:w="2316" w:type="dxa"/>
          </w:tcPr>
          <w:p w:rsidR="00A81280" w:rsidRPr="00B233C9" w:rsidRDefault="00A81280" w:rsidP="00A81280">
            <w:pPr>
              <w:spacing w:after="120"/>
              <w:jc w:val="center"/>
              <w:rPr>
                <w:sz w:val="28"/>
                <w:szCs w:val="28"/>
              </w:rPr>
            </w:pPr>
            <w:r w:rsidRPr="00B233C9">
              <w:rPr>
                <w:sz w:val="28"/>
                <w:szCs w:val="28"/>
              </w:rPr>
              <w:t>&gt; 35</w:t>
            </w:r>
            <w:r w:rsidRPr="00B233C9">
              <w:rPr>
                <w:sz w:val="28"/>
                <w:szCs w:val="28"/>
                <w:vertAlign w:val="superscript"/>
              </w:rPr>
              <w:t>0</w:t>
            </w:r>
            <w:r w:rsidRPr="00B233C9">
              <w:rPr>
                <w:sz w:val="28"/>
                <w:szCs w:val="28"/>
              </w:rPr>
              <w:t>C</w:t>
            </w:r>
          </w:p>
        </w:tc>
      </w:tr>
    </w:tbl>
    <w:p w:rsidR="00A81280" w:rsidRDefault="00A81280" w:rsidP="00A81280">
      <w:pPr>
        <w:spacing w:before="120" w:after="120"/>
        <w:ind w:firstLine="700"/>
        <w:jc w:val="both"/>
        <w:rPr>
          <w:sz w:val="28"/>
          <w:szCs w:val="28"/>
        </w:rPr>
      </w:pPr>
      <w:r>
        <w:rPr>
          <w:sz w:val="28"/>
          <w:szCs w:val="28"/>
        </w:rPr>
        <w:t>Đối với chất lỏng có rủi ro phụ, nhóm đóng gói được căn cứ vào bảng trên và tính nghiêm trọng của rủi ro phụ</w:t>
      </w:r>
    </w:p>
    <w:p w:rsidR="00A81280" w:rsidRDefault="00A81280" w:rsidP="00A81280">
      <w:pPr>
        <w:spacing w:after="120"/>
        <w:ind w:firstLine="700"/>
        <w:jc w:val="both"/>
        <w:rPr>
          <w:sz w:val="28"/>
          <w:szCs w:val="28"/>
        </w:rPr>
      </w:pPr>
      <w:r>
        <w:rPr>
          <w:sz w:val="28"/>
          <w:szCs w:val="28"/>
        </w:rPr>
        <w:t>b) Chất lỏng và hỗn hợp chất dẻo bao gồm hỗn hợp chứa nhỏ hơn 20% Nitrocellulose với Nitơ không vượt quá 12,6% khối lượng được xếp vào nhóm đóng gói III với các yêu cầu sau:</w:t>
      </w:r>
    </w:p>
    <w:p w:rsidR="00A81280" w:rsidRDefault="00A81280" w:rsidP="00A81280">
      <w:pPr>
        <w:spacing w:after="120"/>
        <w:ind w:firstLine="700"/>
        <w:jc w:val="both"/>
        <w:rPr>
          <w:sz w:val="28"/>
          <w:szCs w:val="28"/>
        </w:rPr>
      </w:pPr>
      <w:r>
        <w:rPr>
          <w:sz w:val="28"/>
          <w:szCs w:val="28"/>
        </w:rPr>
        <w:t>- Chiều cao của lớp không hoà tan nhỏ hơn hoặc bằng 3% chiều cao của hỗn hợp chất;</w:t>
      </w:r>
    </w:p>
    <w:p w:rsidR="00A81280" w:rsidRDefault="00A81280" w:rsidP="00A81280">
      <w:pPr>
        <w:spacing w:after="120"/>
        <w:ind w:firstLine="700"/>
        <w:jc w:val="both"/>
        <w:rPr>
          <w:sz w:val="28"/>
          <w:szCs w:val="28"/>
        </w:rPr>
      </w:pPr>
      <w:r>
        <w:rPr>
          <w:sz w:val="28"/>
          <w:szCs w:val="28"/>
        </w:rPr>
        <w:t>- Độ nhớt và nhiệt độ chớp cháy tuân theo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1"/>
        <w:gridCol w:w="1917"/>
        <w:gridCol w:w="2800"/>
        <w:gridCol w:w="2036"/>
      </w:tblGrid>
      <w:tr w:rsidR="00A81280" w:rsidRPr="00B233C9">
        <w:tc>
          <w:tcPr>
            <w:tcW w:w="2251" w:type="dxa"/>
            <w:vMerge w:val="restart"/>
            <w:vAlign w:val="center"/>
          </w:tcPr>
          <w:p w:rsidR="00A81280" w:rsidRPr="00B233C9" w:rsidRDefault="00A81280" w:rsidP="00A81280">
            <w:pPr>
              <w:spacing w:after="120"/>
              <w:jc w:val="center"/>
              <w:rPr>
                <w:sz w:val="28"/>
                <w:szCs w:val="28"/>
              </w:rPr>
            </w:pPr>
            <w:r w:rsidRPr="00B233C9">
              <w:rPr>
                <w:sz w:val="28"/>
                <w:szCs w:val="28"/>
              </w:rPr>
              <w:t>Độ nhớt động học ở 23</w:t>
            </w:r>
            <w:r w:rsidRPr="00B233C9">
              <w:rPr>
                <w:sz w:val="28"/>
                <w:szCs w:val="28"/>
                <w:vertAlign w:val="superscript"/>
              </w:rPr>
              <w:t>0</w:t>
            </w:r>
            <w:r w:rsidRPr="00B233C9">
              <w:rPr>
                <w:sz w:val="28"/>
                <w:szCs w:val="28"/>
              </w:rPr>
              <w:t>C (mm</w:t>
            </w:r>
            <w:r w:rsidRPr="00B233C9">
              <w:rPr>
                <w:sz w:val="28"/>
                <w:szCs w:val="28"/>
                <w:vertAlign w:val="superscript"/>
              </w:rPr>
              <w:t>2</w:t>
            </w:r>
            <w:r w:rsidRPr="00B233C9">
              <w:rPr>
                <w:sz w:val="28"/>
                <w:szCs w:val="28"/>
              </w:rPr>
              <w:t>/s)</w:t>
            </w:r>
          </w:p>
        </w:tc>
        <w:tc>
          <w:tcPr>
            <w:tcW w:w="4717" w:type="dxa"/>
            <w:gridSpan w:val="2"/>
            <w:vAlign w:val="center"/>
          </w:tcPr>
          <w:p w:rsidR="00A81280" w:rsidRPr="00B233C9" w:rsidRDefault="00A81280" w:rsidP="00A81280">
            <w:pPr>
              <w:spacing w:after="120"/>
              <w:jc w:val="center"/>
              <w:rPr>
                <w:sz w:val="28"/>
                <w:szCs w:val="28"/>
              </w:rPr>
            </w:pPr>
            <w:r w:rsidRPr="00B233C9">
              <w:rPr>
                <w:sz w:val="28"/>
                <w:szCs w:val="28"/>
              </w:rPr>
              <w:t>Thời gian chảy theo quy định tại ISO 2431:1993</w:t>
            </w:r>
          </w:p>
        </w:tc>
        <w:tc>
          <w:tcPr>
            <w:tcW w:w="2036" w:type="dxa"/>
            <w:vMerge w:val="restart"/>
            <w:vAlign w:val="center"/>
          </w:tcPr>
          <w:p w:rsidR="00A81280" w:rsidRPr="00B233C9" w:rsidRDefault="00A81280" w:rsidP="00A81280">
            <w:pPr>
              <w:spacing w:after="120"/>
              <w:jc w:val="center"/>
              <w:rPr>
                <w:sz w:val="28"/>
                <w:szCs w:val="28"/>
              </w:rPr>
            </w:pPr>
            <w:r w:rsidRPr="00B233C9">
              <w:rPr>
                <w:sz w:val="28"/>
                <w:szCs w:val="28"/>
              </w:rPr>
              <w:t>Nhiệt độ chớp cháy (</w:t>
            </w:r>
            <w:r w:rsidRPr="00B233C9">
              <w:rPr>
                <w:sz w:val="28"/>
                <w:szCs w:val="28"/>
                <w:vertAlign w:val="superscript"/>
              </w:rPr>
              <w:t>0</w:t>
            </w:r>
            <w:r w:rsidRPr="00B233C9">
              <w:rPr>
                <w:sz w:val="28"/>
                <w:szCs w:val="28"/>
              </w:rPr>
              <w:t>C)</w:t>
            </w:r>
          </w:p>
        </w:tc>
      </w:tr>
      <w:tr w:rsidR="00A81280" w:rsidRPr="00B233C9">
        <w:tc>
          <w:tcPr>
            <w:tcW w:w="2251" w:type="dxa"/>
            <w:vMerge/>
            <w:vAlign w:val="center"/>
          </w:tcPr>
          <w:p w:rsidR="00A81280" w:rsidRPr="00B233C9" w:rsidRDefault="00A81280" w:rsidP="00A81280">
            <w:pPr>
              <w:spacing w:after="120"/>
              <w:jc w:val="center"/>
              <w:rPr>
                <w:sz w:val="28"/>
                <w:szCs w:val="28"/>
              </w:rPr>
            </w:pPr>
          </w:p>
        </w:tc>
        <w:tc>
          <w:tcPr>
            <w:tcW w:w="1917" w:type="dxa"/>
            <w:vAlign w:val="center"/>
          </w:tcPr>
          <w:p w:rsidR="00A81280" w:rsidRPr="00B233C9" w:rsidRDefault="00A81280" w:rsidP="00A81280">
            <w:pPr>
              <w:spacing w:after="120"/>
              <w:jc w:val="center"/>
              <w:rPr>
                <w:sz w:val="28"/>
                <w:szCs w:val="28"/>
              </w:rPr>
            </w:pPr>
            <w:r w:rsidRPr="00B233C9">
              <w:rPr>
                <w:sz w:val="28"/>
                <w:szCs w:val="28"/>
              </w:rPr>
              <w:t>Thời gian (s)</w:t>
            </w:r>
          </w:p>
        </w:tc>
        <w:tc>
          <w:tcPr>
            <w:tcW w:w="2800" w:type="dxa"/>
            <w:vAlign w:val="center"/>
          </w:tcPr>
          <w:p w:rsidR="00A81280" w:rsidRPr="00B233C9" w:rsidRDefault="00A81280" w:rsidP="00A81280">
            <w:pPr>
              <w:spacing w:after="120"/>
              <w:jc w:val="center"/>
              <w:rPr>
                <w:sz w:val="28"/>
                <w:szCs w:val="28"/>
              </w:rPr>
            </w:pPr>
            <w:r w:rsidRPr="00B233C9">
              <w:rPr>
                <w:sz w:val="28"/>
                <w:szCs w:val="28"/>
              </w:rPr>
              <w:t>Đường kính ống (mm)</w:t>
            </w:r>
          </w:p>
        </w:tc>
        <w:tc>
          <w:tcPr>
            <w:tcW w:w="2036" w:type="dxa"/>
            <w:vMerge/>
            <w:vAlign w:val="center"/>
          </w:tcPr>
          <w:p w:rsidR="00A81280" w:rsidRPr="00B233C9" w:rsidRDefault="00A81280" w:rsidP="00A81280">
            <w:pPr>
              <w:spacing w:after="120"/>
              <w:jc w:val="center"/>
              <w:rPr>
                <w:sz w:val="28"/>
                <w:szCs w:val="28"/>
              </w:rPr>
            </w:pPr>
          </w:p>
        </w:tc>
      </w:tr>
      <w:tr w:rsidR="00A81280" w:rsidRPr="00B233C9">
        <w:tc>
          <w:tcPr>
            <w:tcW w:w="2251" w:type="dxa"/>
            <w:vAlign w:val="center"/>
          </w:tcPr>
          <w:p w:rsidR="00A81280" w:rsidRPr="00B233C9" w:rsidRDefault="00A81280" w:rsidP="00A81280">
            <w:pPr>
              <w:spacing w:after="120"/>
              <w:jc w:val="center"/>
              <w:rPr>
                <w:sz w:val="28"/>
                <w:szCs w:val="28"/>
              </w:rPr>
            </w:pPr>
            <w:r w:rsidRPr="00B233C9">
              <w:rPr>
                <w:sz w:val="28"/>
                <w:szCs w:val="28"/>
              </w:rPr>
              <w:t xml:space="preserve">20 &lt; </w:t>
            </w:r>
            <w:r w:rsidRPr="00B233C9">
              <w:rPr>
                <w:sz w:val="28"/>
                <w:szCs w:val="28"/>
              </w:rPr>
              <w:sym w:font="Symbol" w:char="F06E"/>
            </w:r>
            <w:r w:rsidRPr="00B233C9">
              <w:rPr>
                <w:sz w:val="28"/>
                <w:szCs w:val="28"/>
              </w:rPr>
              <w:t xml:space="preserve"> </w:t>
            </w:r>
            <w:r w:rsidRPr="00B233C9">
              <w:rPr>
                <w:sz w:val="28"/>
                <w:szCs w:val="28"/>
              </w:rPr>
              <w:sym w:font="Symbol" w:char="F0A3"/>
            </w:r>
            <w:r w:rsidRPr="00B233C9">
              <w:rPr>
                <w:sz w:val="28"/>
                <w:szCs w:val="28"/>
              </w:rPr>
              <w:t xml:space="preserve"> 80</w:t>
            </w:r>
          </w:p>
        </w:tc>
        <w:tc>
          <w:tcPr>
            <w:tcW w:w="1917" w:type="dxa"/>
            <w:vAlign w:val="center"/>
          </w:tcPr>
          <w:p w:rsidR="00A81280" w:rsidRPr="00B233C9" w:rsidRDefault="00A81280" w:rsidP="00A81280">
            <w:pPr>
              <w:spacing w:after="120"/>
              <w:jc w:val="center"/>
              <w:rPr>
                <w:sz w:val="28"/>
                <w:szCs w:val="28"/>
              </w:rPr>
            </w:pPr>
            <w:r w:rsidRPr="00B233C9">
              <w:rPr>
                <w:sz w:val="28"/>
                <w:szCs w:val="28"/>
              </w:rPr>
              <w:t xml:space="preserve">20 &lt; t </w:t>
            </w:r>
            <w:r w:rsidRPr="00B233C9">
              <w:rPr>
                <w:sz w:val="28"/>
                <w:szCs w:val="28"/>
              </w:rPr>
              <w:sym w:font="Symbol" w:char="F0A3"/>
            </w:r>
            <w:r w:rsidRPr="00B233C9">
              <w:rPr>
                <w:sz w:val="28"/>
                <w:szCs w:val="28"/>
              </w:rPr>
              <w:t xml:space="preserve"> 60</w:t>
            </w:r>
          </w:p>
        </w:tc>
        <w:tc>
          <w:tcPr>
            <w:tcW w:w="2800" w:type="dxa"/>
            <w:vAlign w:val="center"/>
          </w:tcPr>
          <w:p w:rsidR="00A81280" w:rsidRPr="00B233C9" w:rsidRDefault="00A81280" w:rsidP="00A81280">
            <w:pPr>
              <w:spacing w:after="120"/>
              <w:jc w:val="center"/>
              <w:rPr>
                <w:sz w:val="28"/>
                <w:szCs w:val="28"/>
              </w:rPr>
            </w:pPr>
            <w:r w:rsidRPr="00B233C9">
              <w:rPr>
                <w:sz w:val="28"/>
                <w:szCs w:val="28"/>
              </w:rPr>
              <w:t>4</w:t>
            </w:r>
          </w:p>
        </w:tc>
        <w:tc>
          <w:tcPr>
            <w:tcW w:w="2036" w:type="dxa"/>
            <w:vAlign w:val="center"/>
          </w:tcPr>
          <w:p w:rsidR="00A81280" w:rsidRPr="00B233C9" w:rsidRDefault="00A81280" w:rsidP="00A81280">
            <w:pPr>
              <w:spacing w:after="120"/>
              <w:jc w:val="center"/>
              <w:rPr>
                <w:sz w:val="28"/>
                <w:szCs w:val="28"/>
              </w:rPr>
            </w:pPr>
            <w:r w:rsidRPr="00B233C9">
              <w:rPr>
                <w:sz w:val="28"/>
                <w:szCs w:val="28"/>
              </w:rPr>
              <w:t>&gt; 17</w:t>
            </w:r>
          </w:p>
        </w:tc>
      </w:tr>
      <w:tr w:rsidR="00A81280" w:rsidRPr="00B233C9">
        <w:tc>
          <w:tcPr>
            <w:tcW w:w="2251" w:type="dxa"/>
            <w:vAlign w:val="center"/>
          </w:tcPr>
          <w:p w:rsidR="00A81280" w:rsidRPr="00B233C9" w:rsidRDefault="00A81280" w:rsidP="00A81280">
            <w:pPr>
              <w:spacing w:after="120"/>
              <w:jc w:val="center"/>
              <w:rPr>
                <w:sz w:val="28"/>
                <w:szCs w:val="28"/>
              </w:rPr>
            </w:pPr>
            <w:r w:rsidRPr="00B233C9">
              <w:rPr>
                <w:sz w:val="28"/>
                <w:szCs w:val="28"/>
              </w:rPr>
              <w:t xml:space="preserve">80 &lt; </w:t>
            </w:r>
            <w:r w:rsidRPr="00B233C9">
              <w:rPr>
                <w:sz w:val="28"/>
                <w:szCs w:val="28"/>
              </w:rPr>
              <w:sym w:font="Symbol" w:char="F06E"/>
            </w:r>
            <w:r w:rsidRPr="00B233C9">
              <w:rPr>
                <w:sz w:val="28"/>
                <w:szCs w:val="28"/>
              </w:rPr>
              <w:t xml:space="preserve"> </w:t>
            </w:r>
            <w:r w:rsidRPr="00B233C9">
              <w:rPr>
                <w:sz w:val="28"/>
                <w:szCs w:val="28"/>
              </w:rPr>
              <w:sym w:font="Symbol" w:char="F0A3"/>
            </w:r>
            <w:r w:rsidRPr="00B233C9">
              <w:rPr>
                <w:sz w:val="28"/>
                <w:szCs w:val="28"/>
              </w:rPr>
              <w:t xml:space="preserve"> 135</w:t>
            </w:r>
          </w:p>
        </w:tc>
        <w:tc>
          <w:tcPr>
            <w:tcW w:w="1917" w:type="dxa"/>
            <w:vAlign w:val="center"/>
          </w:tcPr>
          <w:p w:rsidR="00A81280" w:rsidRPr="00B233C9" w:rsidRDefault="00A81280" w:rsidP="00A81280">
            <w:pPr>
              <w:spacing w:after="120"/>
              <w:jc w:val="center"/>
              <w:rPr>
                <w:sz w:val="28"/>
                <w:szCs w:val="28"/>
              </w:rPr>
            </w:pPr>
            <w:r w:rsidRPr="00B233C9">
              <w:rPr>
                <w:sz w:val="28"/>
                <w:szCs w:val="28"/>
              </w:rPr>
              <w:t xml:space="preserve">60 &lt; t </w:t>
            </w:r>
            <w:r w:rsidRPr="00B233C9">
              <w:rPr>
                <w:sz w:val="28"/>
                <w:szCs w:val="28"/>
              </w:rPr>
              <w:sym w:font="Symbol" w:char="F0A3"/>
            </w:r>
            <w:r w:rsidRPr="00B233C9">
              <w:rPr>
                <w:sz w:val="28"/>
                <w:szCs w:val="28"/>
              </w:rPr>
              <w:t xml:space="preserve"> 100</w:t>
            </w:r>
          </w:p>
        </w:tc>
        <w:tc>
          <w:tcPr>
            <w:tcW w:w="2800" w:type="dxa"/>
            <w:vAlign w:val="center"/>
          </w:tcPr>
          <w:p w:rsidR="00A81280" w:rsidRPr="00B233C9" w:rsidRDefault="00A81280" w:rsidP="00A81280">
            <w:pPr>
              <w:spacing w:after="120"/>
              <w:jc w:val="center"/>
              <w:rPr>
                <w:sz w:val="28"/>
                <w:szCs w:val="28"/>
              </w:rPr>
            </w:pPr>
            <w:r w:rsidRPr="00B233C9">
              <w:rPr>
                <w:sz w:val="28"/>
                <w:szCs w:val="28"/>
              </w:rPr>
              <w:t>4</w:t>
            </w:r>
          </w:p>
        </w:tc>
        <w:tc>
          <w:tcPr>
            <w:tcW w:w="2036" w:type="dxa"/>
            <w:vAlign w:val="center"/>
          </w:tcPr>
          <w:p w:rsidR="00A81280" w:rsidRPr="00B233C9" w:rsidRDefault="00A81280" w:rsidP="00A81280">
            <w:pPr>
              <w:spacing w:after="120"/>
              <w:jc w:val="center"/>
              <w:rPr>
                <w:sz w:val="28"/>
                <w:szCs w:val="28"/>
              </w:rPr>
            </w:pPr>
            <w:r w:rsidRPr="00B233C9">
              <w:rPr>
                <w:sz w:val="28"/>
                <w:szCs w:val="28"/>
              </w:rPr>
              <w:t>&gt; 10</w:t>
            </w:r>
          </w:p>
        </w:tc>
      </w:tr>
      <w:tr w:rsidR="00A81280" w:rsidRPr="00B233C9">
        <w:tc>
          <w:tcPr>
            <w:tcW w:w="2251" w:type="dxa"/>
            <w:vAlign w:val="center"/>
          </w:tcPr>
          <w:p w:rsidR="00A81280" w:rsidRPr="00B233C9" w:rsidRDefault="00A81280" w:rsidP="00A81280">
            <w:pPr>
              <w:spacing w:after="120"/>
              <w:jc w:val="center"/>
              <w:rPr>
                <w:sz w:val="28"/>
                <w:szCs w:val="28"/>
              </w:rPr>
            </w:pPr>
            <w:r w:rsidRPr="00B233C9">
              <w:rPr>
                <w:sz w:val="28"/>
                <w:szCs w:val="28"/>
              </w:rPr>
              <w:t xml:space="preserve">135 &lt; </w:t>
            </w:r>
            <w:r w:rsidRPr="00B233C9">
              <w:rPr>
                <w:sz w:val="28"/>
                <w:szCs w:val="28"/>
              </w:rPr>
              <w:sym w:font="Symbol" w:char="F06E"/>
            </w:r>
            <w:r w:rsidRPr="00B233C9">
              <w:rPr>
                <w:sz w:val="28"/>
                <w:szCs w:val="28"/>
              </w:rPr>
              <w:t xml:space="preserve"> </w:t>
            </w:r>
            <w:r w:rsidRPr="00B233C9">
              <w:rPr>
                <w:sz w:val="28"/>
                <w:szCs w:val="28"/>
              </w:rPr>
              <w:sym w:font="Symbol" w:char="F0A3"/>
            </w:r>
            <w:r w:rsidRPr="00B233C9">
              <w:rPr>
                <w:sz w:val="28"/>
                <w:szCs w:val="28"/>
              </w:rPr>
              <w:t xml:space="preserve"> 220</w:t>
            </w:r>
          </w:p>
        </w:tc>
        <w:tc>
          <w:tcPr>
            <w:tcW w:w="1917" w:type="dxa"/>
            <w:vAlign w:val="center"/>
          </w:tcPr>
          <w:p w:rsidR="00A81280" w:rsidRPr="00B233C9" w:rsidRDefault="00A81280" w:rsidP="00A81280">
            <w:pPr>
              <w:spacing w:after="120"/>
              <w:jc w:val="center"/>
              <w:rPr>
                <w:sz w:val="28"/>
                <w:szCs w:val="28"/>
              </w:rPr>
            </w:pPr>
            <w:r w:rsidRPr="00B233C9">
              <w:rPr>
                <w:sz w:val="28"/>
                <w:szCs w:val="28"/>
              </w:rPr>
              <w:t xml:space="preserve">20 &lt; t </w:t>
            </w:r>
            <w:r w:rsidRPr="00B233C9">
              <w:rPr>
                <w:sz w:val="28"/>
                <w:szCs w:val="28"/>
              </w:rPr>
              <w:sym w:font="Symbol" w:char="F0A3"/>
            </w:r>
            <w:r w:rsidRPr="00B233C9">
              <w:rPr>
                <w:sz w:val="28"/>
                <w:szCs w:val="28"/>
              </w:rPr>
              <w:t xml:space="preserve"> 32</w:t>
            </w:r>
          </w:p>
        </w:tc>
        <w:tc>
          <w:tcPr>
            <w:tcW w:w="2800" w:type="dxa"/>
            <w:vAlign w:val="center"/>
          </w:tcPr>
          <w:p w:rsidR="00A81280" w:rsidRPr="00B233C9" w:rsidRDefault="00A81280" w:rsidP="00A81280">
            <w:pPr>
              <w:spacing w:after="120"/>
              <w:jc w:val="center"/>
              <w:rPr>
                <w:sz w:val="28"/>
                <w:szCs w:val="28"/>
              </w:rPr>
            </w:pPr>
            <w:r w:rsidRPr="00B233C9">
              <w:rPr>
                <w:sz w:val="28"/>
                <w:szCs w:val="28"/>
              </w:rPr>
              <w:t>6</w:t>
            </w:r>
          </w:p>
        </w:tc>
        <w:tc>
          <w:tcPr>
            <w:tcW w:w="2036" w:type="dxa"/>
            <w:vAlign w:val="center"/>
          </w:tcPr>
          <w:p w:rsidR="00A81280" w:rsidRPr="00B233C9" w:rsidRDefault="00A81280" w:rsidP="00A81280">
            <w:pPr>
              <w:spacing w:after="120"/>
              <w:jc w:val="center"/>
              <w:rPr>
                <w:sz w:val="28"/>
                <w:szCs w:val="28"/>
              </w:rPr>
            </w:pPr>
            <w:r w:rsidRPr="00B233C9">
              <w:rPr>
                <w:sz w:val="28"/>
                <w:szCs w:val="28"/>
              </w:rPr>
              <w:t>&gt; 5</w:t>
            </w:r>
          </w:p>
        </w:tc>
      </w:tr>
      <w:tr w:rsidR="00A81280" w:rsidRPr="00B233C9">
        <w:tc>
          <w:tcPr>
            <w:tcW w:w="2251" w:type="dxa"/>
            <w:vAlign w:val="center"/>
          </w:tcPr>
          <w:p w:rsidR="00A81280" w:rsidRPr="00B233C9" w:rsidRDefault="00A81280" w:rsidP="00A81280">
            <w:pPr>
              <w:spacing w:after="120"/>
              <w:jc w:val="center"/>
              <w:rPr>
                <w:sz w:val="28"/>
                <w:szCs w:val="28"/>
              </w:rPr>
            </w:pPr>
            <w:r w:rsidRPr="00B233C9">
              <w:rPr>
                <w:sz w:val="28"/>
                <w:szCs w:val="28"/>
              </w:rPr>
              <w:t xml:space="preserve">220 &lt; </w:t>
            </w:r>
            <w:r w:rsidRPr="00B233C9">
              <w:rPr>
                <w:sz w:val="28"/>
                <w:szCs w:val="28"/>
              </w:rPr>
              <w:sym w:font="Symbol" w:char="F06E"/>
            </w:r>
            <w:r w:rsidRPr="00B233C9">
              <w:rPr>
                <w:sz w:val="28"/>
                <w:szCs w:val="28"/>
              </w:rPr>
              <w:t xml:space="preserve"> </w:t>
            </w:r>
            <w:r w:rsidRPr="00B233C9">
              <w:rPr>
                <w:sz w:val="28"/>
                <w:szCs w:val="28"/>
              </w:rPr>
              <w:sym w:font="Symbol" w:char="F0A3"/>
            </w:r>
            <w:r w:rsidRPr="00B233C9">
              <w:rPr>
                <w:sz w:val="28"/>
                <w:szCs w:val="28"/>
              </w:rPr>
              <w:t xml:space="preserve"> 300</w:t>
            </w:r>
          </w:p>
        </w:tc>
        <w:tc>
          <w:tcPr>
            <w:tcW w:w="1917" w:type="dxa"/>
            <w:vAlign w:val="center"/>
          </w:tcPr>
          <w:p w:rsidR="00A81280" w:rsidRPr="00B233C9" w:rsidRDefault="00A81280" w:rsidP="00A81280">
            <w:pPr>
              <w:spacing w:after="120"/>
              <w:jc w:val="center"/>
              <w:rPr>
                <w:sz w:val="28"/>
                <w:szCs w:val="28"/>
              </w:rPr>
            </w:pPr>
            <w:r w:rsidRPr="00B233C9">
              <w:rPr>
                <w:sz w:val="28"/>
                <w:szCs w:val="28"/>
              </w:rPr>
              <w:t xml:space="preserve">32 &lt; t </w:t>
            </w:r>
            <w:r w:rsidRPr="00B233C9">
              <w:rPr>
                <w:sz w:val="28"/>
                <w:szCs w:val="28"/>
              </w:rPr>
              <w:sym w:font="Symbol" w:char="F0A3"/>
            </w:r>
            <w:r w:rsidRPr="00B233C9">
              <w:rPr>
                <w:sz w:val="28"/>
                <w:szCs w:val="28"/>
              </w:rPr>
              <w:t xml:space="preserve"> 44</w:t>
            </w:r>
          </w:p>
        </w:tc>
        <w:tc>
          <w:tcPr>
            <w:tcW w:w="2800" w:type="dxa"/>
            <w:vAlign w:val="center"/>
          </w:tcPr>
          <w:p w:rsidR="00A81280" w:rsidRPr="00B233C9" w:rsidRDefault="00A81280" w:rsidP="00A81280">
            <w:pPr>
              <w:spacing w:after="120"/>
              <w:jc w:val="center"/>
              <w:rPr>
                <w:sz w:val="28"/>
                <w:szCs w:val="28"/>
              </w:rPr>
            </w:pPr>
            <w:r w:rsidRPr="00B233C9">
              <w:rPr>
                <w:sz w:val="28"/>
                <w:szCs w:val="28"/>
              </w:rPr>
              <w:t>6</w:t>
            </w:r>
          </w:p>
        </w:tc>
        <w:tc>
          <w:tcPr>
            <w:tcW w:w="2036" w:type="dxa"/>
            <w:vAlign w:val="center"/>
          </w:tcPr>
          <w:p w:rsidR="00A81280" w:rsidRPr="00B233C9" w:rsidRDefault="00A81280" w:rsidP="00A81280">
            <w:pPr>
              <w:spacing w:after="120"/>
              <w:jc w:val="center"/>
              <w:rPr>
                <w:sz w:val="28"/>
                <w:szCs w:val="28"/>
              </w:rPr>
            </w:pPr>
            <w:r w:rsidRPr="00B233C9">
              <w:rPr>
                <w:sz w:val="28"/>
                <w:szCs w:val="28"/>
              </w:rPr>
              <w:t>&gt; -1</w:t>
            </w:r>
          </w:p>
        </w:tc>
      </w:tr>
      <w:tr w:rsidR="00A81280" w:rsidRPr="00B233C9">
        <w:tc>
          <w:tcPr>
            <w:tcW w:w="2251" w:type="dxa"/>
            <w:vAlign w:val="center"/>
          </w:tcPr>
          <w:p w:rsidR="00A81280" w:rsidRPr="00B233C9" w:rsidRDefault="00A81280" w:rsidP="00A81280">
            <w:pPr>
              <w:spacing w:after="120"/>
              <w:jc w:val="center"/>
              <w:rPr>
                <w:sz w:val="28"/>
                <w:szCs w:val="28"/>
              </w:rPr>
            </w:pPr>
            <w:r w:rsidRPr="00B233C9">
              <w:rPr>
                <w:sz w:val="28"/>
                <w:szCs w:val="28"/>
              </w:rPr>
              <w:t xml:space="preserve">300 &lt; </w:t>
            </w:r>
            <w:r w:rsidRPr="00B233C9">
              <w:rPr>
                <w:sz w:val="28"/>
                <w:szCs w:val="28"/>
              </w:rPr>
              <w:sym w:font="Symbol" w:char="F06E"/>
            </w:r>
            <w:r w:rsidRPr="00B233C9">
              <w:rPr>
                <w:sz w:val="28"/>
                <w:szCs w:val="28"/>
              </w:rPr>
              <w:t xml:space="preserve"> </w:t>
            </w:r>
            <w:r w:rsidRPr="00B233C9">
              <w:rPr>
                <w:sz w:val="28"/>
                <w:szCs w:val="28"/>
              </w:rPr>
              <w:sym w:font="Symbol" w:char="F0A3"/>
            </w:r>
            <w:r w:rsidRPr="00B233C9">
              <w:rPr>
                <w:sz w:val="28"/>
                <w:szCs w:val="28"/>
              </w:rPr>
              <w:t xml:space="preserve"> 700</w:t>
            </w:r>
          </w:p>
        </w:tc>
        <w:tc>
          <w:tcPr>
            <w:tcW w:w="1917" w:type="dxa"/>
            <w:vAlign w:val="center"/>
          </w:tcPr>
          <w:p w:rsidR="00A81280" w:rsidRPr="00B233C9" w:rsidRDefault="00A81280" w:rsidP="00A81280">
            <w:pPr>
              <w:spacing w:after="120"/>
              <w:jc w:val="center"/>
              <w:rPr>
                <w:sz w:val="28"/>
                <w:szCs w:val="28"/>
              </w:rPr>
            </w:pPr>
            <w:r w:rsidRPr="00B233C9">
              <w:rPr>
                <w:sz w:val="28"/>
                <w:szCs w:val="28"/>
              </w:rPr>
              <w:t xml:space="preserve">44 &lt; t </w:t>
            </w:r>
            <w:r w:rsidRPr="00B233C9">
              <w:rPr>
                <w:sz w:val="28"/>
                <w:szCs w:val="28"/>
              </w:rPr>
              <w:sym w:font="Symbol" w:char="F0A3"/>
            </w:r>
            <w:r w:rsidRPr="00B233C9">
              <w:rPr>
                <w:sz w:val="28"/>
                <w:szCs w:val="28"/>
              </w:rPr>
              <w:t xml:space="preserve"> 100</w:t>
            </w:r>
          </w:p>
        </w:tc>
        <w:tc>
          <w:tcPr>
            <w:tcW w:w="2800" w:type="dxa"/>
            <w:vAlign w:val="center"/>
          </w:tcPr>
          <w:p w:rsidR="00A81280" w:rsidRPr="00B233C9" w:rsidRDefault="00A81280" w:rsidP="00A81280">
            <w:pPr>
              <w:spacing w:after="120"/>
              <w:jc w:val="center"/>
              <w:rPr>
                <w:sz w:val="28"/>
                <w:szCs w:val="28"/>
              </w:rPr>
            </w:pPr>
            <w:r w:rsidRPr="00B233C9">
              <w:rPr>
                <w:sz w:val="28"/>
                <w:szCs w:val="28"/>
              </w:rPr>
              <w:t>6</w:t>
            </w:r>
          </w:p>
        </w:tc>
        <w:tc>
          <w:tcPr>
            <w:tcW w:w="2036" w:type="dxa"/>
            <w:vAlign w:val="center"/>
          </w:tcPr>
          <w:p w:rsidR="00A81280" w:rsidRPr="00B233C9" w:rsidRDefault="00A81280" w:rsidP="00A81280">
            <w:pPr>
              <w:spacing w:after="120"/>
              <w:jc w:val="center"/>
              <w:rPr>
                <w:sz w:val="28"/>
                <w:szCs w:val="28"/>
              </w:rPr>
            </w:pPr>
            <w:r w:rsidRPr="00B233C9">
              <w:rPr>
                <w:sz w:val="28"/>
                <w:szCs w:val="28"/>
              </w:rPr>
              <w:t>&gt; -5</w:t>
            </w:r>
          </w:p>
        </w:tc>
      </w:tr>
      <w:tr w:rsidR="00A81280" w:rsidRPr="00B233C9">
        <w:tc>
          <w:tcPr>
            <w:tcW w:w="2251" w:type="dxa"/>
            <w:vAlign w:val="center"/>
          </w:tcPr>
          <w:p w:rsidR="00A81280" w:rsidRPr="00B233C9" w:rsidRDefault="00A81280" w:rsidP="00A81280">
            <w:pPr>
              <w:spacing w:after="120"/>
              <w:jc w:val="center"/>
              <w:rPr>
                <w:sz w:val="28"/>
                <w:szCs w:val="28"/>
              </w:rPr>
            </w:pPr>
            <w:r w:rsidRPr="00B233C9">
              <w:rPr>
                <w:sz w:val="28"/>
                <w:szCs w:val="28"/>
              </w:rPr>
              <w:t xml:space="preserve">700 &lt; </w:t>
            </w:r>
            <w:r w:rsidRPr="00B233C9">
              <w:rPr>
                <w:sz w:val="28"/>
                <w:szCs w:val="28"/>
              </w:rPr>
              <w:sym w:font="Symbol" w:char="F06E"/>
            </w:r>
          </w:p>
        </w:tc>
        <w:tc>
          <w:tcPr>
            <w:tcW w:w="1917" w:type="dxa"/>
            <w:vAlign w:val="center"/>
          </w:tcPr>
          <w:p w:rsidR="00A81280" w:rsidRPr="00B233C9" w:rsidRDefault="00A81280" w:rsidP="00A81280">
            <w:pPr>
              <w:spacing w:after="120"/>
              <w:jc w:val="center"/>
              <w:rPr>
                <w:sz w:val="28"/>
                <w:szCs w:val="28"/>
              </w:rPr>
            </w:pPr>
            <w:r w:rsidRPr="00B233C9">
              <w:rPr>
                <w:sz w:val="28"/>
                <w:szCs w:val="28"/>
              </w:rPr>
              <w:t>100 &lt; t</w:t>
            </w:r>
          </w:p>
        </w:tc>
        <w:tc>
          <w:tcPr>
            <w:tcW w:w="2800" w:type="dxa"/>
            <w:vAlign w:val="center"/>
          </w:tcPr>
          <w:p w:rsidR="00A81280" w:rsidRPr="00B233C9" w:rsidRDefault="00A81280" w:rsidP="00A81280">
            <w:pPr>
              <w:spacing w:after="120"/>
              <w:jc w:val="center"/>
              <w:rPr>
                <w:sz w:val="28"/>
                <w:szCs w:val="28"/>
              </w:rPr>
            </w:pPr>
            <w:r w:rsidRPr="00B233C9">
              <w:rPr>
                <w:sz w:val="28"/>
                <w:szCs w:val="28"/>
              </w:rPr>
              <w:t>6</w:t>
            </w:r>
          </w:p>
        </w:tc>
        <w:tc>
          <w:tcPr>
            <w:tcW w:w="2036" w:type="dxa"/>
            <w:vAlign w:val="center"/>
          </w:tcPr>
          <w:p w:rsidR="00A81280" w:rsidRPr="00B233C9" w:rsidRDefault="00A81280" w:rsidP="00A81280">
            <w:pPr>
              <w:spacing w:after="120"/>
              <w:jc w:val="center"/>
              <w:rPr>
                <w:sz w:val="28"/>
                <w:szCs w:val="28"/>
              </w:rPr>
            </w:pPr>
            <w:r w:rsidRPr="00B233C9">
              <w:rPr>
                <w:sz w:val="28"/>
                <w:szCs w:val="28"/>
              </w:rPr>
              <w:sym w:font="Symbol" w:char="F0A3"/>
            </w:r>
            <w:r w:rsidRPr="00B233C9">
              <w:rPr>
                <w:sz w:val="28"/>
                <w:szCs w:val="28"/>
              </w:rPr>
              <w:t xml:space="preserve"> -5</w:t>
            </w:r>
          </w:p>
        </w:tc>
      </w:tr>
    </w:tbl>
    <w:p w:rsidR="00A81280" w:rsidRPr="00034E16" w:rsidRDefault="00A81280" w:rsidP="00A81280">
      <w:pPr>
        <w:spacing w:before="120" w:after="120"/>
        <w:ind w:firstLine="697"/>
        <w:jc w:val="both"/>
        <w:rPr>
          <w:i/>
        </w:rPr>
      </w:pPr>
      <w:r w:rsidRPr="00034E16">
        <w:rPr>
          <w:i/>
        </w:rPr>
        <w:t>Ghi chú: Hỗn hợp chất có 20% &lt; Nitrocellulose &lt; 55% với Nitơ không vượt quá 12,6% khối lượng được xếp vào chất có số UN 2059</w:t>
      </w:r>
    </w:p>
    <w:p w:rsidR="00A81280" w:rsidRPr="00034E16" w:rsidRDefault="00A81280" w:rsidP="00A81280">
      <w:pPr>
        <w:spacing w:after="120"/>
        <w:ind w:firstLine="697"/>
        <w:jc w:val="both"/>
        <w:rPr>
          <w:i/>
        </w:rPr>
      </w:pPr>
      <w:r w:rsidRPr="00034E16">
        <w:rPr>
          <w:i/>
        </w:rPr>
        <w:t>Các hợp chất có nhiệt độ chớp cháy nhỏ hơn 23</w:t>
      </w:r>
      <w:r w:rsidRPr="00034E16">
        <w:rPr>
          <w:i/>
          <w:vertAlign w:val="superscript"/>
        </w:rPr>
        <w:t>0</w:t>
      </w:r>
      <w:r w:rsidRPr="00034E16">
        <w:rPr>
          <w:i/>
        </w:rPr>
        <w:t>C có chứa:</w:t>
      </w:r>
    </w:p>
    <w:p w:rsidR="00A81280" w:rsidRPr="00034E16" w:rsidRDefault="00A81280" w:rsidP="00A81280">
      <w:pPr>
        <w:spacing w:after="120"/>
        <w:ind w:firstLine="697"/>
        <w:jc w:val="both"/>
        <w:rPr>
          <w:i/>
        </w:rPr>
      </w:pPr>
      <w:r w:rsidRPr="00034E16">
        <w:rPr>
          <w:i/>
        </w:rPr>
        <w:t>+ Lớn hơn 55% Nitrocellulose với bất kỳ hàm lượng Nitơ</w:t>
      </w:r>
    </w:p>
    <w:p w:rsidR="00A81280" w:rsidRPr="00034E16" w:rsidRDefault="00A81280" w:rsidP="00A81280">
      <w:pPr>
        <w:spacing w:after="120"/>
        <w:ind w:firstLine="697"/>
        <w:jc w:val="both"/>
        <w:rPr>
          <w:i/>
        </w:rPr>
      </w:pPr>
      <w:r w:rsidRPr="00034E16">
        <w:rPr>
          <w:i/>
        </w:rPr>
        <w:t>+ Nhỏ hơn 55% Nitrocellulose với Nitơ không vượt quá 12,6% khối lượng</w:t>
      </w:r>
    </w:p>
    <w:p w:rsidR="00A81280" w:rsidRPr="00034E16" w:rsidRDefault="00A81280" w:rsidP="00A81280">
      <w:pPr>
        <w:spacing w:after="120"/>
        <w:ind w:firstLine="697"/>
        <w:jc w:val="both"/>
        <w:rPr>
          <w:i/>
        </w:rPr>
      </w:pPr>
      <w:r w:rsidRPr="00034E16">
        <w:rPr>
          <w:i/>
        </w:rPr>
        <w:t>được xếp loại vào chất có số UN 0340 hoặc UN 0342 hoặc UN2555 hoặc UN 2556 hoặc UN 2557</w:t>
      </w:r>
    </w:p>
    <w:p w:rsidR="00A81280" w:rsidRPr="000301C3" w:rsidRDefault="00A81280" w:rsidP="00A81280">
      <w:pPr>
        <w:spacing w:after="120"/>
        <w:ind w:firstLine="697"/>
        <w:jc w:val="both"/>
        <w:rPr>
          <w:b/>
          <w:sz w:val="28"/>
          <w:szCs w:val="28"/>
        </w:rPr>
      </w:pPr>
      <w:r w:rsidRPr="000301C3">
        <w:rPr>
          <w:b/>
          <w:sz w:val="28"/>
          <w:szCs w:val="28"/>
        </w:rPr>
        <w:lastRenderedPageBreak/>
        <w:t>2. Chất rắn dễ cháy được thử nghiệm theo phương pháp mô tả tại phần III, tiểu mục 33.2.1 Sách hướng thử nghiệm và tiêu chuẩn (Khuyến cáo Liên hợp quốc về vận chuyển hàng hoá nguy hiểm), được phân loại đóng gói như sau</w:t>
      </w:r>
      <w:r>
        <w:rPr>
          <w:b/>
          <w:sz w:val="28"/>
          <w:szCs w:val="28"/>
        </w:rPr>
        <w:t>:</w:t>
      </w:r>
    </w:p>
    <w:p w:rsidR="00A81280" w:rsidRDefault="00A81280" w:rsidP="00A81280">
      <w:pPr>
        <w:spacing w:after="120"/>
        <w:ind w:firstLine="697"/>
        <w:jc w:val="both"/>
        <w:rPr>
          <w:sz w:val="28"/>
          <w:szCs w:val="28"/>
        </w:rPr>
      </w:pPr>
      <w:r w:rsidRPr="009A7786">
        <w:rPr>
          <w:sz w:val="28"/>
          <w:szCs w:val="28"/>
        </w:rPr>
        <w:t xml:space="preserve">a) </w:t>
      </w:r>
      <w:r>
        <w:rPr>
          <w:sz w:val="28"/>
          <w:szCs w:val="28"/>
        </w:rPr>
        <w:t>Đốt cháy c</w:t>
      </w:r>
      <w:r w:rsidRPr="009A7786">
        <w:rPr>
          <w:sz w:val="28"/>
          <w:szCs w:val="28"/>
        </w:rPr>
        <w:t>hất rắn dễ cháy</w:t>
      </w:r>
      <w:r>
        <w:rPr>
          <w:sz w:val="28"/>
          <w:szCs w:val="28"/>
        </w:rPr>
        <w:t xml:space="preserve"> thời gian</w:t>
      </w:r>
      <w:r w:rsidRPr="009A7786">
        <w:rPr>
          <w:sz w:val="28"/>
          <w:szCs w:val="28"/>
        </w:rPr>
        <w:t xml:space="preserve"> nhỏ hơn 45 giây </w:t>
      </w:r>
      <w:r>
        <w:rPr>
          <w:sz w:val="28"/>
          <w:szCs w:val="28"/>
        </w:rPr>
        <w:t>với khoảng cách 100 mm:</w:t>
      </w:r>
    </w:p>
    <w:p w:rsidR="00A81280" w:rsidRDefault="00A81280" w:rsidP="00A81280">
      <w:pPr>
        <w:spacing w:after="120"/>
        <w:ind w:firstLine="697"/>
        <w:jc w:val="both"/>
        <w:rPr>
          <w:sz w:val="28"/>
          <w:szCs w:val="28"/>
        </w:rPr>
      </w:pPr>
      <w:r>
        <w:rPr>
          <w:sz w:val="28"/>
          <w:szCs w:val="28"/>
        </w:rPr>
        <w:t>- Đóng gói mức II (PG II) đối với chất cháy qua vùng ẩm;</w:t>
      </w:r>
    </w:p>
    <w:p w:rsidR="00A81280" w:rsidRDefault="00A81280" w:rsidP="00A81280">
      <w:pPr>
        <w:spacing w:after="120"/>
        <w:ind w:firstLine="697"/>
        <w:jc w:val="both"/>
        <w:rPr>
          <w:sz w:val="28"/>
          <w:szCs w:val="28"/>
        </w:rPr>
      </w:pPr>
      <w:r>
        <w:rPr>
          <w:sz w:val="28"/>
          <w:szCs w:val="28"/>
        </w:rPr>
        <w:t>- Đóng gói mức III (PG III) đối với chất không cháy qua vùng ẩm trong thời gian tối thiểu 4 phút.</w:t>
      </w:r>
    </w:p>
    <w:p w:rsidR="00A81280" w:rsidRDefault="00A81280" w:rsidP="00A81280">
      <w:pPr>
        <w:spacing w:after="120"/>
        <w:ind w:firstLine="697"/>
        <w:jc w:val="both"/>
        <w:rPr>
          <w:sz w:val="28"/>
          <w:szCs w:val="28"/>
        </w:rPr>
      </w:pPr>
      <w:r>
        <w:rPr>
          <w:sz w:val="28"/>
          <w:szCs w:val="28"/>
        </w:rPr>
        <w:t>b) Bột kim loại hoặc hỗn hợp kim loại:</w:t>
      </w:r>
    </w:p>
    <w:p w:rsidR="00A81280" w:rsidRDefault="00A81280" w:rsidP="00A81280">
      <w:pPr>
        <w:spacing w:after="120"/>
        <w:ind w:firstLine="697"/>
        <w:jc w:val="both"/>
        <w:rPr>
          <w:sz w:val="28"/>
          <w:szCs w:val="28"/>
        </w:rPr>
      </w:pPr>
      <w:r>
        <w:rPr>
          <w:sz w:val="28"/>
          <w:szCs w:val="28"/>
        </w:rPr>
        <w:t>- Đóng gói mức II (PG II) đối với chất cháy qua chiều dài thử nghiệm trong thời gian nhỏ hơn hoặc bằng 5 phút;</w:t>
      </w:r>
    </w:p>
    <w:p w:rsidR="00A81280" w:rsidRDefault="00A81280" w:rsidP="00A81280">
      <w:pPr>
        <w:spacing w:after="120"/>
        <w:ind w:firstLine="697"/>
        <w:jc w:val="both"/>
        <w:rPr>
          <w:sz w:val="28"/>
          <w:szCs w:val="28"/>
        </w:rPr>
      </w:pPr>
      <w:r>
        <w:rPr>
          <w:sz w:val="28"/>
          <w:szCs w:val="28"/>
        </w:rPr>
        <w:t>- Đóng gói mức III (PG III) đối với chất cháy qua chiều dài mẫu thử lớn hơn 5 phút.</w:t>
      </w:r>
    </w:p>
    <w:p w:rsidR="00A81280" w:rsidRPr="003B1C0A" w:rsidRDefault="00A81280" w:rsidP="00A81280">
      <w:pPr>
        <w:spacing w:after="120"/>
        <w:ind w:firstLine="697"/>
        <w:jc w:val="both"/>
        <w:rPr>
          <w:b/>
          <w:sz w:val="28"/>
          <w:szCs w:val="28"/>
        </w:rPr>
      </w:pPr>
      <w:r w:rsidRPr="003B1C0A">
        <w:rPr>
          <w:b/>
          <w:sz w:val="28"/>
          <w:szCs w:val="28"/>
        </w:rPr>
        <w:t>3. Chất dễ tự bốc cháy được phân loại đóng gói I, II, III theo quy định sau:</w:t>
      </w:r>
    </w:p>
    <w:p w:rsidR="00A81280" w:rsidRDefault="00A81280" w:rsidP="00A81280">
      <w:pPr>
        <w:spacing w:after="120"/>
        <w:ind w:firstLine="697"/>
        <w:jc w:val="both"/>
        <w:rPr>
          <w:sz w:val="28"/>
          <w:szCs w:val="28"/>
        </w:rPr>
      </w:pPr>
      <w:r>
        <w:rPr>
          <w:sz w:val="28"/>
          <w:szCs w:val="28"/>
        </w:rPr>
        <w:t>- Đóng gói mức I (PG I) đối với chất có khả năng tự cháy;</w:t>
      </w:r>
    </w:p>
    <w:p w:rsidR="00A81280" w:rsidRDefault="00A81280" w:rsidP="00A81280">
      <w:pPr>
        <w:spacing w:after="120"/>
        <w:ind w:firstLine="697"/>
        <w:jc w:val="both"/>
        <w:rPr>
          <w:sz w:val="28"/>
          <w:szCs w:val="28"/>
        </w:rPr>
      </w:pPr>
      <w:r>
        <w:rPr>
          <w:sz w:val="28"/>
          <w:szCs w:val="28"/>
        </w:rPr>
        <w:t>- Đóng gói mức II (PG II) đối với chất tự cháy hoặc tăng nhiệt độ lên hơn 200</w:t>
      </w:r>
      <w:r>
        <w:rPr>
          <w:sz w:val="28"/>
          <w:szCs w:val="28"/>
          <w:vertAlign w:val="superscript"/>
        </w:rPr>
        <w:t>0</w:t>
      </w:r>
      <w:r>
        <w:rPr>
          <w:sz w:val="28"/>
          <w:szCs w:val="28"/>
        </w:rPr>
        <w:t>C trong vòng 24 giờ với mẫu thử 2,5 cm</w:t>
      </w:r>
      <w:r>
        <w:rPr>
          <w:sz w:val="28"/>
          <w:szCs w:val="28"/>
          <w:vertAlign w:val="superscript"/>
        </w:rPr>
        <w:t>3</w:t>
      </w:r>
      <w:r>
        <w:rPr>
          <w:sz w:val="28"/>
          <w:szCs w:val="28"/>
        </w:rPr>
        <w:t xml:space="preserve"> tại nhiệt độ thử là 140</w:t>
      </w:r>
      <w:r>
        <w:rPr>
          <w:sz w:val="28"/>
          <w:szCs w:val="28"/>
          <w:vertAlign w:val="superscript"/>
        </w:rPr>
        <w:t>0</w:t>
      </w:r>
      <w:r>
        <w:rPr>
          <w:sz w:val="28"/>
          <w:szCs w:val="28"/>
        </w:rPr>
        <w:t>C hoặc là các chất tự cháy tại nhiệt độ 50</w:t>
      </w:r>
      <w:r>
        <w:rPr>
          <w:sz w:val="28"/>
          <w:szCs w:val="28"/>
          <w:vertAlign w:val="superscript"/>
        </w:rPr>
        <w:t>0</w:t>
      </w:r>
      <w:r>
        <w:rPr>
          <w:sz w:val="28"/>
          <w:szCs w:val="28"/>
        </w:rPr>
        <w:t>C với thể tích là 450 lít;</w:t>
      </w:r>
    </w:p>
    <w:p w:rsidR="00A81280" w:rsidRPr="00A02911" w:rsidRDefault="00A81280" w:rsidP="00A81280">
      <w:pPr>
        <w:spacing w:after="120"/>
        <w:ind w:firstLine="697"/>
        <w:jc w:val="both"/>
        <w:rPr>
          <w:sz w:val="28"/>
          <w:szCs w:val="28"/>
        </w:rPr>
      </w:pPr>
      <w:r>
        <w:rPr>
          <w:sz w:val="28"/>
          <w:szCs w:val="28"/>
        </w:rPr>
        <w:t>- Đóng gói mức III (PG III) đối với chất tự cháy hoặc tăng nhiệt độ lên hơn 200</w:t>
      </w:r>
      <w:r>
        <w:rPr>
          <w:sz w:val="28"/>
          <w:szCs w:val="28"/>
          <w:vertAlign w:val="superscript"/>
        </w:rPr>
        <w:t>0</w:t>
      </w:r>
      <w:r>
        <w:rPr>
          <w:sz w:val="28"/>
          <w:szCs w:val="28"/>
        </w:rPr>
        <w:t xml:space="preserve">C </w:t>
      </w:r>
      <w:r w:rsidRPr="00A02911">
        <w:rPr>
          <w:sz w:val="28"/>
          <w:szCs w:val="28"/>
        </w:rPr>
        <w:t>trong vòng 24 giờ với mẫu thử 10 cm</w:t>
      </w:r>
      <w:r w:rsidRPr="00A02911">
        <w:rPr>
          <w:sz w:val="28"/>
          <w:szCs w:val="28"/>
          <w:vertAlign w:val="superscript"/>
        </w:rPr>
        <w:t>3</w:t>
      </w:r>
      <w:r w:rsidRPr="00A02911">
        <w:rPr>
          <w:sz w:val="28"/>
          <w:szCs w:val="28"/>
        </w:rPr>
        <w:t xml:space="preserve"> tại nhiệt độ thử là 140</w:t>
      </w:r>
      <w:r w:rsidRPr="00A02911">
        <w:rPr>
          <w:sz w:val="28"/>
          <w:szCs w:val="28"/>
          <w:vertAlign w:val="superscript"/>
        </w:rPr>
        <w:t>0</w:t>
      </w:r>
      <w:r w:rsidRPr="00A02911">
        <w:rPr>
          <w:sz w:val="28"/>
          <w:szCs w:val="28"/>
        </w:rPr>
        <w:t>C.</w:t>
      </w:r>
    </w:p>
    <w:p w:rsidR="00A81280" w:rsidRPr="003B1C0A" w:rsidRDefault="00A81280" w:rsidP="00A81280">
      <w:pPr>
        <w:spacing w:after="120"/>
        <w:ind w:firstLine="697"/>
        <w:jc w:val="both"/>
        <w:rPr>
          <w:b/>
          <w:sz w:val="28"/>
          <w:szCs w:val="28"/>
        </w:rPr>
      </w:pPr>
      <w:r w:rsidRPr="003B1C0A">
        <w:rPr>
          <w:b/>
          <w:sz w:val="28"/>
          <w:szCs w:val="28"/>
        </w:rPr>
        <w:t>4. Chất phát ra khí dễ cháy khi gặp nước được phân loại đóng gói I, II, III theo quy định sau:</w:t>
      </w:r>
    </w:p>
    <w:p w:rsidR="00A81280" w:rsidRPr="00A02911" w:rsidRDefault="00A81280" w:rsidP="00A81280">
      <w:pPr>
        <w:spacing w:after="120"/>
        <w:ind w:firstLine="697"/>
        <w:jc w:val="both"/>
        <w:rPr>
          <w:sz w:val="28"/>
          <w:szCs w:val="28"/>
        </w:rPr>
      </w:pPr>
      <w:r w:rsidRPr="00A02911">
        <w:rPr>
          <w:sz w:val="28"/>
          <w:szCs w:val="28"/>
        </w:rPr>
        <w:t xml:space="preserve">- Đóng gói </w:t>
      </w:r>
      <w:r>
        <w:rPr>
          <w:sz w:val="28"/>
          <w:szCs w:val="28"/>
        </w:rPr>
        <w:t>mức</w:t>
      </w:r>
      <w:r w:rsidRPr="00A02911">
        <w:rPr>
          <w:sz w:val="28"/>
          <w:szCs w:val="28"/>
        </w:rPr>
        <w:t xml:space="preserve"> I </w:t>
      </w:r>
      <w:r>
        <w:rPr>
          <w:sz w:val="28"/>
          <w:szCs w:val="28"/>
        </w:rPr>
        <w:t xml:space="preserve">(PG I) </w:t>
      </w:r>
      <w:r w:rsidRPr="00A02911">
        <w:rPr>
          <w:sz w:val="28"/>
          <w:szCs w:val="28"/>
        </w:rPr>
        <w:t>đối với chất phản ứng mãnh liệt với nước ở nhiệt độ môi trường và thường có xu hướng khí tạo thành tự bắt cháy hoặc phản ứng dễ dàng với nước ở nhiệt độ môi trường mà tốc độ giải phóng khí dễ cháy lớn hơn hoặc bằng 10 lit/kg hợp chất trong mỗi phút</w:t>
      </w:r>
    </w:p>
    <w:p w:rsidR="00A81280" w:rsidRPr="00A02911" w:rsidRDefault="00A81280" w:rsidP="00A81280">
      <w:pPr>
        <w:spacing w:after="120"/>
        <w:ind w:firstLine="697"/>
        <w:jc w:val="both"/>
        <w:rPr>
          <w:sz w:val="28"/>
          <w:szCs w:val="28"/>
        </w:rPr>
      </w:pPr>
      <w:r>
        <w:rPr>
          <w:sz w:val="28"/>
          <w:szCs w:val="28"/>
        </w:rPr>
        <w:t>- Đóng gói mức</w:t>
      </w:r>
      <w:r w:rsidRPr="00A02911">
        <w:rPr>
          <w:sz w:val="28"/>
          <w:szCs w:val="28"/>
        </w:rPr>
        <w:t xml:space="preserve"> II</w:t>
      </w:r>
      <w:r>
        <w:rPr>
          <w:sz w:val="28"/>
          <w:szCs w:val="28"/>
        </w:rPr>
        <w:t xml:space="preserve"> (PG II)</w:t>
      </w:r>
      <w:r w:rsidRPr="00A02911">
        <w:rPr>
          <w:sz w:val="28"/>
          <w:szCs w:val="28"/>
        </w:rPr>
        <w:t xml:space="preserve"> đối với chất phản ứng dễ dàng với nước ở nhiệt độ môi trường và tốc độ giải phóng khí lớn hơn </w:t>
      </w:r>
      <w:r>
        <w:rPr>
          <w:sz w:val="28"/>
          <w:szCs w:val="28"/>
        </w:rPr>
        <w:t xml:space="preserve">hoặc bằng </w:t>
      </w:r>
      <w:r w:rsidRPr="00A02911">
        <w:rPr>
          <w:sz w:val="28"/>
          <w:szCs w:val="28"/>
        </w:rPr>
        <w:t>20 l</w:t>
      </w:r>
      <w:r>
        <w:rPr>
          <w:sz w:val="28"/>
          <w:szCs w:val="28"/>
        </w:rPr>
        <w:t>í</w:t>
      </w:r>
      <w:r w:rsidRPr="00A02911">
        <w:rPr>
          <w:sz w:val="28"/>
          <w:szCs w:val="28"/>
        </w:rPr>
        <w:t>t/kg hợp chất mỗi giờ và không thuộc đóng gói nhóm I;</w:t>
      </w:r>
    </w:p>
    <w:p w:rsidR="00A81280" w:rsidRDefault="00A81280" w:rsidP="00A81280">
      <w:pPr>
        <w:spacing w:after="120"/>
        <w:ind w:firstLine="697"/>
        <w:jc w:val="both"/>
        <w:rPr>
          <w:sz w:val="28"/>
          <w:szCs w:val="28"/>
        </w:rPr>
      </w:pPr>
      <w:r w:rsidRPr="00A02911">
        <w:rPr>
          <w:sz w:val="28"/>
          <w:szCs w:val="28"/>
        </w:rPr>
        <w:t xml:space="preserve">- Đóng gói </w:t>
      </w:r>
      <w:r>
        <w:rPr>
          <w:sz w:val="28"/>
          <w:szCs w:val="28"/>
        </w:rPr>
        <w:t>mức</w:t>
      </w:r>
      <w:r w:rsidRPr="00A02911">
        <w:rPr>
          <w:sz w:val="28"/>
          <w:szCs w:val="28"/>
        </w:rPr>
        <w:t xml:space="preserve"> III</w:t>
      </w:r>
      <w:r>
        <w:rPr>
          <w:sz w:val="28"/>
          <w:szCs w:val="28"/>
        </w:rPr>
        <w:t xml:space="preserve"> (PG III)</w:t>
      </w:r>
      <w:r w:rsidRPr="00A02911">
        <w:rPr>
          <w:sz w:val="28"/>
          <w:szCs w:val="28"/>
        </w:rPr>
        <w:t xml:space="preserve"> đối với chất phản ứng chậm với nước ở nhiệt độ môi trườn</w:t>
      </w:r>
      <w:r>
        <w:rPr>
          <w:sz w:val="28"/>
          <w:szCs w:val="28"/>
        </w:rPr>
        <w:t xml:space="preserve">g và tốc độ giải phóng khí </w:t>
      </w:r>
      <w:r w:rsidRPr="00A02911">
        <w:rPr>
          <w:sz w:val="28"/>
          <w:szCs w:val="28"/>
        </w:rPr>
        <w:t>lớn hơn</w:t>
      </w:r>
      <w:r>
        <w:rPr>
          <w:sz w:val="28"/>
          <w:szCs w:val="28"/>
        </w:rPr>
        <w:t xml:space="preserve"> </w:t>
      </w:r>
      <w:r w:rsidRPr="00A02911">
        <w:rPr>
          <w:sz w:val="28"/>
          <w:szCs w:val="28"/>
        </w:rPr>
        <w:t xml:space="preserve">hoặc </w:t>
      </w:r>
      <w:r>
        <w:rPr>
          <w:sz w:val="28"/>
          <w:szCs w:val="28"/>
        </w:rPr>
        <w:t>bằng 1 lí</w:t>
      </w:r>
      <w:r w:rsidRPr="00A02911">
        <w:rPr>
          <w:sz w:val="28"/>
          <w:szCs w:val="28"/>
        </w:rPr>
        <w:t xml:space="preserve">t/kg hợp chất trong một giờ và không thuộc đóng gói </w:t>
      </w:r>
      <w:r>
        <w:rPr>
          <w:sz w:val="28"/>
          <w:szCs w:val="28"/>
        </w:rPr>
        <w:t>mức</w:t>
      </w:r>
      <w:r w:rsidRPr="00A02911">
        <w:rPr>
          <w:sz w:val="28"/>
          <w:szCs w:val="28"/>
        </w:rPr>
        <w:t xml:space="preserve"> I, II.</w:t>
      </w:r>
    </w:p>
    <w:p w:rsidR="00A81280" w:rsidRPr="003B1C0A" w:rsidRDefault="00A81280" w:rsidP="00A81280">
      <w:pPr>
        <w:spacing w:after="120"/>
        <w:ind w:firstLine="697"/>
        <w:jc w:val="both"/>
        <w:rPr>
          <w:b/>
          <w:sz w:val="28"/>
          <w:szCs w:val="28"/>
        </w:rPr>
      </w:pPr>
      <w:r w:rsidRPr="003B1C0A">
        <w:rPr>
          <w:b/>
          <w:sz w:val="28"/>
          <w:szCs w:val="28"/>
        </w:rPr>
        <w:t>5. Chất rắn ô xy hóa được phân loại đóng gói I, II, III theo quy định sau:</w:t>
      </w:r>
    </w:p>
    <w:p w:rsidR="00A81280" w:rsidRPr="00EA5442" w:rsidRDefault="00A81280" w:rsidP="00A81280">
      <w:pPr>
        <w:spacing w:after="120"/>
        <w:ind w:firstLine="697"/>
        <w:jc w:val="both"/>
        <w:rPr>
          <w:sz w:val="28"/>
          <w:szCs w:val="28"/>
        </w:rPr>
      </w:pPr>
      <w:r w:rsidRPr="00EA5442">
        <w:rPr>
          <w:sz w:val="28"/>
          <w:szCs w:val="28"/>
        </w:rPr>
        <w:lastRenderedPageBreak/>
        <w:t xml:space="preserve">- Đóng gói </w:t>
      </w:r>
      <w:r>
        <w:rPr>
          <w:sz w:val="28"/>
          <w:szCs w:val="28"/>
        </w:rPr>
        <w:t>mức</w:t>
      </w:r>
      <w:r w:rsidRPr="00EA5442">
        <w:rPr>
          <w:sz w:val="28"/>
          <w:szCs w:val="28"/>
        </w:rPr>
        <w:t xml:space="preserve"> I </w:t>
      </w:r>
      <w:r>
        <w:rPr>
          <w:sz w:val="28"/>
          <w:szCs w:val="28"/>
        </w:rPr>
        <w:t xml:space="preserve">(PG I) </w:t>
      </w:r>
      <w:r w:rsidRPr="00EA5442">
        <w:rPr>
          <w:sz w:val="28"/>
          <w:szCs w:val="28"/>
        </w:rPr>
        <w:t xml:space="preserve">đối với chất khi trộn với cellulose theo tỷ lệ 4:1 hay 1:1 (khối lượng) có thời gian cháy trung bình nhỏ hơn thời gian cháy trung bình của hỗn hợp Kali bromat và cellulose theo tỷ lệ 3:2 (khối lượng); </w:t>
      </w:r>
    </w:p>
    <w:p w:rsidR="00A81280" w:rsidRPr="00EA5442" w:rsidRDefault="00A81280" w:rsidP="00A81280">
      <w:pPr>
        <w:spacing w:after="120"/>
        <w:ind w:firstLine="697"/>
        <w:jc w:val="both"/>
        <w:rPr>
          <w:sz w:val="28"/>
          <w:szCs w:val="28"/>
        </w:rPr>
      </w:pPr>
      <w:r>
        <w:rPr>
          <w:sz w:val="28"/>
          <w:szCs w:val="28"/>
        </w:rPr>
        <w:t>- Đóng gói mức</w:t>
      </w:r>
      <w:r w:rsidRPr="00EA5442">
        <w:rPr>
          <w:sz w:val="28"/>
          <w:szCs w:val="28"/>
        </w:rPr>
        <w:t xml:space="preserve"> II</w:t>
      </w:r>
      <w:r>
        <w:rPr>
          <w:sz w:val="28"/>
          <w:szCs w:val="28"/>
        </w:rPr>
        <w:t xml:space="preserve"> (PG II)</w:t>
      </w:r>
      <w:r w:rsidRPr="00EA5442">
        <w:rPr>
          <w:sz w:val="28"/>
          <w:szCs w:val="28"/>
        </w:rPr>
        <w:t xml:space="preserve"> đối với</w:t>
      </w:r>
      <w:r>
        <w:rPr>
          <w:sz w:val="28"/>
          <w:szCs w:val="28"/>
        </w:rPr>
        <w:t xml:space="preserve"> </w:t>
      </w:r>
      <w:r w:rsidRPr="00EA5442">
        <w:rPr>
          <w:sz w:val="28"/>
          <w:szCs w:val="28"/>
        </w:rPr>
        <w:t xml:space="preserve">chất </w:t>
      </w:r>
      <w:r>
        <w:rPr>
          <w:sz w:val="28"/>
          <w:szCs w:val="28"/>
        </w:rPr>
        <w:t xml:space="preserve">khi </w:t>
      </w:r>
      <w:r w:rsidRPr="00EA5442">
        <w:rPr>
          <w:sz w:val="28"/>
          <w:szCs w:val="28"/>
        </w:rPr>
        <w:t xml:space="preserve">trộn với cellulose theo tỷ lệ 4:1 hay 1:1 (khối lượng) có thời gian cháy trung bình bằng hay nhỏ hơn thời gian cháy trung bình của của hỗn hợp Kali bromat và cellulose </w:t>
      </w:r>
      <w:r>
        <w:rPr>
          <w:sz w:val="28"/>
          <w:szCs w:val="28"/>
        </w:rPr>
        <w:t xml:space="preserve">theo tỷ lệ </w:t>
      </w:r>
      <w:r w:rsidRPr="00EA5442">
        <w:rPr>
          <w:sz w:val="28"/>
          <w:szCs w:val="28"/>
        </w:rPr>
        <w:t xml:space="preserve">2:3 </w:t>
      </w:r>
      <w:r>
        <w:rPr>
          <w:sz w:val="28"/>
          <w:szCs w:val="28"/>
        </w:rPr>
        <w:t>(</w:t>
      </w:r>
      <w:r w:rsidRPr="00EA5442">
        <w:rPr>
          <w:sz w:val="28"/>
          <w:szCs w:val="28"/>
        </w:rPr>
        <w:t>khối lượng</w:t>
      </w:r>
      <w:r>
        <w:rPr>
          <w:sz w:val="28"/>
          <w:szCs w:val="28"/>
        </w:rPr>
        <w:t>)</w:t>
      </w:r>
      <w:r w:rsidRPr="00EA5442">
        <w:rPr>
          <w:sz w:val="28"/>
          <w:szCs w:val="28"/>
        </w:rPr>
        <w:t xml:space="preserve"> và không </w:t>
      </w:r>
      <w:r>
        <w:rPr>
          <w:sz w:val="28"/>
          <w:szCs w:val="28"/>
        </w:rPr>
        <w:t>thuộc nhóm đóng gói I;</w:t>
      </w:r>
    </w:p>
    <w:p w:rsidR="00A81280" w:rsidRPr="00EA5442" w:rsidRDefault="00A81280" w:rsidP="00A81280">
      <w:pPr>
        <w:spacing w:after="120"/>
        <w:ind w:firstLine="697"/>
        <w:jc w:val="both"/>
        <w:rPr>
          <w:sz w:val="28"/>
          <w:szCs w:val="28"/>
        </w:rPr>
      </w:pPr>
      <w:r>
        <w:rPr>
          <w:sz w:val="28"/>
          <w:szCs w:val="28"/>
        </w:rPr>
        <w:t>- Đóng gói mức</w:t>
      </w:r>
      <w:r w:rsidRPr="00EA5442">
        <w:rPr>
          <w:sz w:val="28"/>
          <w:szCs w:val="28"/>
        </w:rPr>
        <w:t xml:space="preserve"> III</w:t>
      </w:r>
      <w:r>
        <w:rPr>
          <w:sz w:val="28"/>
          <w:szCs w:val="28"/>
        </w:rPr>
        <w:t xml:space="preserve"> (PG III)</w:t>
      </w:r>
      <w:r w:rsidRPr="00EA5442">
        <w:rPr>
          <w:sz w:val="28"/>
          <w:szCs w:val="28"/>
        </w:rPr>
        <w:t xml:space="preserve"> đối với chất </w:t>
      </w:r>
      <w:r>
        <w:rPr>
          <w:sz w:val="28"/>
          <w:szCs w:val="28"/>
        </w:rPr>
        <w:t xml:space="preserve">khi </w:t>
      </w:r>
      <w:r w:rsidRPr="00EA5442">
        <w:rPr>
          <w:sz w:val="28"/>
          <w:szCs w:val="28"/>
        </w:rPr>
        <w:t xml:space="preserve">trộn với cellulose theo tỷ lệ 4:1 hay 1:1 (khối lượng) có thời gian cháy trung bình bằng hay nhỏ hơn thời gian cháy trung bình của hỗn hợp Kali bromat và cellulose </w:t>
      </w:r>
      <w:r>
        <w:rPr>
          <w:sz w:val="28"/>
          <w:szCs w:val="28"/>
        </w:rPr>
        <w:t>theo tỷ lệ 3:7 (</w:t>
      </w:r>
      <w:r w:rsidRPr="00EA5442">
        <w:rPr>
          <w:sz w:val="28"/>
          <w:szCs w:val="28"/>
        </w:rPr>
        <w:t>khối lượng</w:t>
      </w:r>
      <w:r>
        <w:rPr>
          <w:sz w:val="28"/>
          <w:szCs w:val="28"/>
        </w:rPr>
        <w:t xml:space="preserve">) </w:t>
      </w:r>
      <w:r w:rsidRPr="00EA5442">
        <w:rPr>
          <w:sz w:val="28"/>
          <w:szCs w:val="28"/>
        </w:rPr>
        <w:t xml:space="preserve">và không </w:t>
      </w:r>
      <w:r>
        <w:rPr>
          <w:sz w:val="28"/>
          <w:szCs w:val="28"/>
        </w:rPr>
        <w:t>thuộc đóng gói mức I, II.</w:t>
      </w:r>
    </w:p>
    <w:p w:rsidR="00A81280" w:rsidRPr="003B1C0A" w:rsidRDefault="00A81280" w:rsidP="00A81280">
      <w:pPr>
        <w:spacing w:after="120"/>
        <w:ind w:firstLine="697"/>
        <w:jc w:val="both"/>
        <w:rPr>
          <w:b/>
          <w:sz w:val="28"/>
          <w:szCs w:val="28"/>
        </w:rPr>
      </w:pPr>
      <w:r w:rsidRPr="003B1C0A">
        <w:rPr>
          <w:b/>
          <w:sz w:val="28"/>
          <w:szCs w:val="28"/>
        </w:rPr>
        <w:t>6. Chất lỏng ô xy hóa được phân loại đóng gói I, II, III theo quy định sau:</w:t>
      </w:r>
    </w:p>
    <w:p w:rsidR="00A81280" w:rsidRPr="00AF1B2A" w:rsidRDefault="00A81280" w:rsidP="00A81280">
      <w:pPr>
        <w:spacing w:after="120"/>
        <w:ind w:firstLine="697"/>
        <w:jc w:val="both"/>
        <w:rPr>
          <w:sz w:val="28"/>
          <w:szCs w:val="28"/>
        </w:rPr>
      </w:pPr>
      <w:r w:rsidRPr="00AF1B2A">
        <w:rPr>
          <w:sz w:val="28"/>
          <w:szCs w:val="28"/>
        </w:rPr>
        <w:t xml:space="preserve">- Đóng gói </w:t>
      </w:r>
      <w:r>
        <w:rPr>
          <w:sz w:val="28"/>
          <w:szCs w:val="28"/>
        </w:rPr>
        <w:t>mức</w:t>
      </w:r>
      <w:r w:rsidRPr="00AF1B2A">
        <w:rPr>
          <w:sz w:val="28"/>
          <w:szCs w:val="28"/>
        </w:rPr>
        <w:t xml:space="preserve"> I </w:t>
      </w:r>
      <w:r>
        <w:rPr>
          <w:sz w:val="28"/>
          <w:szCs w:val="28"/>
        </w:rPr>
        <w:t xml:space="preserve">(PG I) </w:t>
      </w:r>
      <w:r w:rsidRPr="00AF1B2A">
        <w:rPr>
          <w:sz w:val="28"/>
          <w:szCs w:val="28"/>
        </w:rPr>
        <w:t>đối với chất khi trộn với cellulose theo tỷ lệ 1:1 (khối lượng) có thể tự bắt cháy hoặc thời gian tăng áp suất trung bình của hỗn hợp của chất với  cellulose theo tỷ lệ 1:1 (khối lượng) nhỏ hơn so với hỗn hợp 50% axit percloric và xenlulozơ theo tỷ lệ 1:1 (khối lượng);</w:t>
      </w:r>
    </w:p>
    <w:p w:rsidR="00A81280" w:rsidRPr="00AF1B2A" w:rsidRDefault="00A81280" w:rsidP="00A81280">
      <w:pPr>
        <w:spacing w:after="120"/>
        <w:ind w:firstLine="697"/>
        <w:jc w:val="both"/>
        <w:rPr>
          <w:sz w:val="28"/>
          <w:szCs w:val="28"/>
        </w:rPr>
      </w:pPr>
      <w:r w:rsidRPr="00AF1B2A">
        <w:rPr>
          <w:sz w:val="28"/>
          <w:szCs w:val="28"/>
        </w:rPr>
        <w:t xml:space="preserve">- Đóng gói </w:t>
      </w:r>
      <w:r>
        <w:rPr>
          <w:sz w:val="28"/>
          <w:szCs w:val="28"/>
        </w:rPr>
        <w:t>mức</w:t>
      </w:r>
      <w:r w:rsidRPr="00AF1B2A">
        <w:rPr>
          <w:sz w:val="28"/>
          <w:szCs w:val="28"/>
        </w:rPr>
        <w:t xml:space="preserve"> II </w:t>
      </w:r>
      <w:r>
        <w:rPr>
          <w:sz w:val="28"/>
          <w:szCs w:val="28"/>
        </w:rPr>
        <w:t xml:space="preserve">(PG II) </w:t>
      </w:r>
      <w:r w:rsidRPr="00AF1B2A">
        <w:rPr>
          <w:sz w:val="28"/>
          <w:szCs w:val="28"/>
        </w:rPr>
        <w:t>đối với chất khi trộn với cellulose theo tỷ lệ 1:1 (khối lượng) có thời gian tăng áp suất trung bình nhỏ hơn hoặc bằng thời gian tăng áp suất trung bình của hỗn hợp Natri clorat và cellulose theo tỷ lệ 1:1 (khối lượng) và không thuộc đóng gói</w:t>
      </w:r>
      <w:r>
        <w:rPr>
          <w:sz w:val="28"/>
          <w:szCs w:val="28"/>
        </w:rPr>
        <w:t xml:space="preserve"> mức</w:t>
      </w:r>
      <w:r w:rsidRPr="00AF1B2A">
        <w:rPr>
          <w:sz w:val="28"/>
          <w:szCs w:val="28"/>
        </w:rPr>
        <w:t xml:space="preserve"> I;</w:t>
      </w:r>
    </w:p>
    <w:p w:rsidR="00A81280" w:rsidRDefault="00A81280" w:rsidP="00A81280">
      <w:pPr>
        <w:spacing w:after="120"/>
        <w:ind w:firstLine="697"/>
        <w:jc w:val="both"/>
        <w:rPr>
          <w:sz w:val="28"/>
          <w:szCs w:val="28"/>
        </w:rPr>
      </w:pPr>
      <w:r w:rsidRPr="00AF1B2A">
        <w:rPr>
          <w:sz w:val="28"/>
          <w:szCs w:val="28"/>
        </w:rPr>
        <w:t xml:space="preserve">- Đóng gói </w:t>
      </w:r>
      <w:r>
        <w:rPr>
          <w:sz w:val="28"/>
          <w:szCs w:val="28"/>
        </w:rPr>
        <w:t>mức</w:t>
      </w:r>
      <w:r w:rsidRPr="00AF1B2A">
        <w:rPr>
          <w:sz w:val="28"/>
          <w:szCs w:val="28"/>
        </w:rPr>
        <w:t xml:space="preserve"> III đối với chất khi trộn với cellulose theo tỷ lệ 1:1 (khối lượng) có thời gian tăng áp suất trung bình nhỏ hơn hoặc bằng hỗn hợp axit nitric 65% và cellulose theo tỷ lệ 1:1 (khối lượng) và không thuộc đóng gói </w:t>
      </w:r>
      <w:r>
        <w:rPr>
          <w:sz w:val="28"/>
          <w:szCs w:val="28"/>
        </w:rPr>
        <w:t xml:space="preserve">mức </w:t>
      </w:r>
      <w:r w:rsidRPr="00AF1B2A">
        <w:rPr>
          <w:sz w:val="28"/>
          <w:szCs w:val="28"/>
        </w:rPr>
        <w:t>I, II.</w:t>
      </w:r>
    </w:p>
    <w:p w:rsidR="00A81280" w:rsidRPr="00BC2EE8" w:rsidRDefault="00A81280" w:rsidP="00A81280">
      <w:pPr>
        <w:spacing w:after="120"/>
        <w:ind w:firstLine="697"/>
        <w:jc w:val="both"/>
        <w:rPr>
          <w:b/>
          <w:sz w:val="28"/>
          <w:szCs w:val="28"/>
        </w:rPr>
      </w:pPr>
      <w:r w:rsidRPr="00BC2EE8">
        <w:rPr>
          <w:b/>
          <w:sz w:val="28"/>
          <w:szCs w:val="28"/>
        </w:rPr>
        <w:t>7. Chất ăn mòn được phân loại đóng gói I, II, III theo quy định sau:</w:t>
      </w:r>
    </w:p>
    <w:p w:rsidR="00A81280" w:rsidRDefault="00A81280" w:rsidP="00A81280">
      <w:pPr>
        <w:spacing w:after="120"/>
        <w:ind w:firstLine="697"/>
        <w:jc w:val="both"/>
        <w:rPr>
          <w:sz w:val="28"/>
          <w:szCs w:val="28"/>
        </w:rPr>
      </w:pPr>
      <w:r>
        <w:rPr>
          <w:sz w:val="28"/>
          <w:szCs w:val="28"/>
        </w:rPr>
        <w:t>- Đóng gói mức I (PG I) đối với các chất ăn mòn mạnh;</w:t>
      </w:r>
    </w:p>
    <w:p w:rsidR="00A81280" w:rsidRDefault="00A81280" w:rsidP="00A81280">
      <w:pPr>
        <w:spacing w:after="120"/>
        <w:ind w:firstLine="697"/>
        <w:jc w:val="both"/>
        <w:rPr>
          <w:sz w:val="28"/>
          <w:szCs w:val="28"/>
        </w:rPr>
      </w:pPr>
      <w:r>
        <w:rPr>
          <w:sz w:val="28"/>
          <w:szCs w:val="28"/>
        </w:rPr>
        <w:t>- Đóng gói mức II (PG II) đối với các chất ăn mòn;</w:t>
      </w:r>
    </w:p>
    <w:p w:rsidR="00A81280" w:rsidRDefault="00A81280" w:rsidP="00A81280">
      <w:pPr>
        <w:spacing w:after="120"/>
        <w:ind w:firstLine="697"/>
        <w:jc w:val="both"/>
        <w:rPr>
          <w:sz w:val="28"/>
          <w:szCs w:val="28"/>
        </w:rPr>
      </w:pPr>
      <w:r>
        <w:rPr>
          <w:sz w:val="28"/>
          <w:szCs w:val="28"/>
        </w:rPr>
        <w:t>- Đóng gói mức III (PG III) đối với các chất ăn mòn nhẹ;</w:t>
      </w:r>
    </w:p>
    <w:p w:rsidR="00A81280" w:rsidRDefault="00A81280" w:rsidP="00A81280">
      <w:pPr>
        <w:spacing w:after="120"/>
        <w:ind w:firstLine="697"/>
        <w:jc w:val="both"/>
        <w:rPr>
          <w:sz w:val="28"/>
          <w:szCs w:val="28"/>
        </w:rPr>
      </w:pPr>
      <w:r>
        <w:rPr>
          <w:sz w:val="28"/>
          <w:szCs w:val="28"/>
        </w:rPr>
        <w:t>Ngoài ra chất ăn mòn còn được xếp loại mức đóng gói tùy thuộc vào các nguy cơ như độc tính hoặc ăn mòn da:</w:t>
      </w:r>
    </w:p>
    <w:p w:rsidR="00A81280" w:rsidRDefault="00A81280" w:rsidP="00A81280">
      <w:pPr>
        <w:spacing w:after="120"/>
        <w:ind w:firstLine="697"/>
        <w:jc w:val="both"/>
        <w:rPr>
          <w:sz w:val="28"/>
          <w:szCs w:val="28"/>
        </w:rPr>
      </w:pPr>
      <w:r>
        <w:rPr>
          <w:sz w:val="28"/>
          <w:szCs w:val="28"/>
        </w:rPr>
        <w:t>- Đóng gói mức I (PG I) đối với các chất ăn phá hủy toàn bộ da trong vòng 60 phút sau khi tiếp xúc với thời gian nhỏ hơn hoặc bằng 3 phút;</w:t>
      </w:r>
    </w:p>
    <w:p w:rsidR="00A81280" w:rsidRDefault="00A81280" w:rsidP="00A81280">
      <w:pPr>
        <w:spacing w:after="120"/>
        <w:ind w:firstLine="697"/>
        <w:jc w:val="both"/>
        <w:rPr>
          <w:sz w:val="28"/>
          <w:szCs w:val="28"/>
        </w:rPr>
      </w:pPr>
      <w:r>
        <w:rPr>
          <w:sz w:val="28"/>
          <w:szCs w:val="28"/>
        </w:rPr>
        <w:t>- Đóng gói mức II (PG II) đối với các chất ăn phá hủy toàn bộ da trong vòng 14 ngày sau khi tiếp xúc với thời gian nhỏ lớn hơn 3 phút, nhỏ hơn hoặc bằng 60 phút;</w:t>
      </w:r>
    </w:p>
    <w:p w:rsidR="00FA78F9" w:rsidRPr="00A81280" w:rsidRDefault="00A81280" w:rsidP="00A81280">
      <w:pPr>
        <w:spacing w:after="120"/>
        <w:ind w:firstLine="697"/>
        <w:jc w:val="both"/>
        <w:rPr>
          <w:sz w:val="28"/>
          <w:szCs w:val="28"/>
        </w:rPr>
      </w:pPr>
      <w:r>
        <w:rPr>
          <w:sz w:val="28"/>
          <w:szCs w:val="28"/>
        </w:rPr>
        <w:t>- Đóng gói mức III (PG III) đối với các chất ăn phá hủy toàn bộ da trong vòng 14 ngày sau khi tiếp xúc với thời gian nhỏ lớn hơn 60 phút, nhỏ hơn hoặc bằng 4 giờ.</w:t>
      </w:r>
    </w:p>
    <w:sectPr w:rsidR="00FA78F9" w:rsidRPr="00A81280" w:rsidSect="007E52CC">
      <w:footerReference w:type="even" r:id="rId6"/>
      <w:footerReference w:type="default" r:id="rId7"/>
      <w:pgSz w:w="11907" w:h="16840" w:code="9"/>
      <w:pgMar w:top="1418" w:right="1134" w:bottom="1134" w:left="1985" w:header="720" w:footer="720" w:gutter="0"/>
      <w:pgNumType w:start="1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BA3" w:rsidRDefault="00312BA3">
      <w:r>
        <w:separator/>
      </w:r>
    </w:p>
  </w:endnote>
  <w:endnote w:type="continuationSeparator" w:id="1">
    <w:p w:rsidR="00312BA3" w:rsidRDefault="00312B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80" w:rsidRDefault="00A81280" w:rsidP="00A812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1280" w:rsidRDefault="00A81280" w:rsidP="00A812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1280" w:rsidRDefault="00A81280" w:rsidP="00A8128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D018B">
      <w:rPr>
        <w:rStyle w:val="PageNumber"/>
        <w:noProof/>
      </w:rPr>
      <w:t>18</w:t>
    </w:r>
    <w:r>
      <w:rPr>
        <w:rStyle w:val="PageNumber"/>
      </w:rPr>
      <w:fldChar w:fldCharType="end"/>
    </w:r>
  </w:p>
  <w:p w:rsidR="00A81280" w:rsidRDefault="00A81280" w:rsidP="00A8128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BA3" w:rsidRDefault="00312BA3">
      <w:r>
        <w:separator/>
      </w:r>
    </w:p>
  </w:footnote>
  <w:footnote w:type="continuationSeparator" w:id="1">
    <w:p w:rsidR="00312BA3" w:rsidRDefault="00312BA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A81280"/>
    <w:rsid w:val="0000290C"/>
    <w:rsid w:val="00010E68"/>
    <w:rsid w:val="00011533"/>
    <w:rsid w:val="00013663"/>
    <w:rsid w:val="000143BF"/>
    <w:rsid w:val="000164E8"/>
    <w:rsid w:val="00022464"/>
    <w:rsid w:val="00027F08"/>
    <w:rsid w:val="000326A0"/>
    <w:rsid w:val="00037C2D"/>
    <w:rsid w:val="00042146"/>
    <w:rsid w:val="0004304A"/>
    <w:rsid w:val="000465F3"/>
    <w:rsid w:val="0004714A"/>
    <w:rsid w:val="000515AF"/>
    <w:rsid w:val="000533B2"/>
    <w:rsid w:val="00056AEE"/>
    <w:rsid w:val="000652B4"/>
    <w:rsid w:val="00074FE2"/>
    <w:rsid w:val="000830C5"/>
    <w:rsid w:val="00085C03"/>
    <w:rsid w:val="000868B3"/>
    <w:rsid w:val="0009157C"/>
    <w:rsid w:val="000B110D"/>
    <w:rsid w:val="000B60A9"/>
    <w:rsid w:val="000C092B"/>
    <w:rsid w:val="000D2DC7"/>
    <w:rsid w:val="000D4698"/>
    <w:rsid w:val="000E4638"/>
    <w:rsid w:val="000E47BE"/>
    <w:rsid w:val="000E5EB9"/>
    <w:rsid w:val="000E727C"/>
    <w:rsid w:val="000F6ED8"/>
    <w:rsid w:val="00100878"/>
    <w:rsid w:val="00104A49"/>
    <w:rsid w:val="00123FDC"/>
    <w:rsid w:val="001369AB"/>
    <w:rsid w:val="00146038"/>
    <w:rsid w:val="00153A08"/>
    <w:rsid w:val="00167124"/>
    <w:rsid w:val="00170EAD"/>
    <w:rsid w:val="00174028"/>
    <w:rsid w:val="0017760E"/>
    <w:rsid w:val="00194F5F"/>
    <w:rsid w:val="00195AA3"/>
    <w:rsid w:val="001A6CC9"/>
    <w:rsid w:val="001C018F"/>
    <w:rsid w:val="001C080E"/>
    <w:rsid w:val="001C4933"/>
    <w:rsid w:val="001D084C"/>
    <w:rsid w:val="001F18E1"/>
    <w:rsid w:val="001F6595"/>
    <w:rsid w:val="001F785F"/>
    <w:rsid w:val="0020641C"/>
    <w:rsid w:val="0021156D"/>
    <w:rsid w:val="002223E1"/>
    <w:rsid w:val="00226D65"/>
    <w:rsid w:val="00230A84"/>
    <w:rsid w:val="00230B11"/>
    <w:rsid w:val="00232149"/>
    <w:rsid w:val="002329E6"/>
    <w:rsid w:val="00232E17"/>
    <w:rsid w:val="00233EF0"/>
    <w:rsid w:val="0023597C"/>
    <w:rsid w:val="0023654F"/>
    <w:rsid w:val="00240995"/>
    <w:rsid w:val="00241703"/>
    <w:rsid w:val="0024376A"/>
    <w:rsid w:val="00247B6F"/>
    <w:rsid w:val="0026377E"/>
    <w:rsid w:val="00272DAD"/>
    <w:rsid w:val="0027399B"/>
    <w:rsid w:val="00276BC0"/>
    <w:rsid w:val="002812B3"/>
    <w:rsid w:val="0028735F"/>
    <w:rsid w:val="00295AD8"/>
    <w:rsid w:val="002977E0"/>
    <w:rsid w:val="002A38D5"/>
    <w:rsid w:val="002A6E5F"/>
    <w:rsid w:val="002A75BA"/>
    <w:rsid w:val="002B7417"/>
    <w:rsid w:val="002E001F"/>
    <w:rsid w:val="002E28AB"/>
    <w:rsid w:val="002E3104"/>
    <w:rsid w:val="002F7C3C"/>
    <w:rsid w:val="00300194"/>
    <w:rsid w:val="0031228D"/>
    <w:rsid w:val="00312BA3"/>
    <w:rsid w:val="00320677"/>
    <w:rsid w:val="00322CA3"/>
    <w:rsid w:val="00333238"/>
    <w:rsid w:val="00333901"/>
    <w:rsid w:val="00342A5D"/>
    <w:rsid w:val="00344C90"/>
    <w:rsid w:val="0035249D"/>
    <w:rsid w:val="00370F69"/>
    <w:rsid w:val="00384B49"/>
    <w:rsid w:val="00391493"/>
    <w:rsid w:val="003A2C3B"/>
    <w:rsid w:val="003A4F21"/>
    <w:rsid w:val="003D3F09"/>
    <w:rsid w:val="004012F8"/>
    <w:rsid w:val="00402F81"/>
    <w:rsid w:val="00420A6E"/>
    <w:rsid w:val="0042549A"/>
    <w:rsid w:val="00426E60"/>
    <w:rsid w:val="0042736A"/>
    <w:rsid w:val="00431399"/>
    <w:rsid w:val="00444106"/>
    <w:rsid w:val="00447ABB"/>
    <w:rsid w:val="00454358"/>
    <w:rsid w:val="00457448"/>
    <w:rsid w:val="00460013"/>
    <w:rsid w:val="00461EA7"/>
    <w:rsid w:val="0047297A"/>
    <w:rsid w:val="004749F8"/>
    <w:rsid w:val="00474A3B"/>
    <w:rsid w:val="00477764"/>
    <w:rsid w:val="004812C3"/>
    <w:rsid w:val="00483402"/>
    <w:rsid w:val="004950DE"/>
    <w:rsid w:val="004B2AF7"/>
    <w:rsid w:val="004D64A5"/>
    <w:rsid w:val="004D7B47"/>
    <w:rsid w:val="004E2412"/>
    <w:rsid w:val="004E6DAD"/>
    <w:rsid w:val="004E6F05"/>
    <w:rsid w:val="004F0A5E"/>
    <w:rsid w:val="0050015D"/>
    <w:rsid w:val="00532DEE"/>
    <w:rsid w:val="00536C2A"/>
    <w:rsid w:val="00541C3F"/>
    <w:rsid w:val="00544CE4"/>
    <w:rsid w:val="005462C9"/>
    <w:rsid w:val="00547DAE"/>
    <w:rsid w:val="005549DF"/>
    <w:rsid w:val="00555F47"/>
    <w:rsid w:val="00557050"/>
    <w:rsid w:val="0055731C"/>
    <w:rsid w:val="00563C83"/>
    <w:rsid w:val="0057740B"/>
    <w:rsid w:val="00580D3A"/>
    <w:rsid w:val="00584105"/>
    <w:rsid w:val="0058422A"/>
    <w:rsid w:val="00597B34"/>
    <w:rsid w:val="005A13A4"/>
    <w:rsid w:val="005A266E"/>
    <w:rsid w:val="005A7FFE"/>
    <w:rsid w:val="005B6B4C"/>
    <w:rsid w:val="005B7566"/>
    <w:rsid w:val="005B7658"/>
    <w:rsid w:val="005C1BDC"/>
    <w:rsid w:val="005C3D0E"/>
    <w:rsid w:val="005D0704"/>
    <w:rsid w:val="005D394B"/>
    <w:rsid w:val="005D7B46"/>
    <w:rsid w:val="005E174E"/>
    <w:rsid w:val="005E1AFF"/>
    <w:rsid w:val="005E4153"/>
    <w:rsid w:val="005E77B6"/>
    <w:rsid w:val="005F13E7"/>
    <w:rsid w:val="005F16DF"/>
    <w:rsid w:val="005F1D35"/>
    <w:rsid w:val="005F2BEA"/>
    <w:rsid w:val="005F4920"/>
    <w:rsid w:val="006001ED"/>
    <w:rsid w:val="00603BF2"/>
    <w:rsid w:val="00612E91"/>
    <w:rsid w:val="00617FC5"/>
    <w:rsid w:val="006236F6"/>
    <w:rsid w:val="00623CA0"/>
    <w:rsid w:val="00642F31"/>
    <w:rsid w:val="00647B8D"/>
    <w:rsid w:val="006551DC"/>
    <w:rsid w:val="00661360"/>
    <w:rsid w:val="00662338"/>
    <w:rsid w:val="00662C16"/>
    <w:rsid w:val="00673B03"/>
    <w:rsid w:val="00681092"/>
    <w:rsid w:val="00682751"/>
    <w:rsid w:val="006876A3"/>
    <w:rsid w:val="00695F7C"/>
    <w:rsid w:val="006A56FB"/>
    <w:rsid w:val="006B505E"/>
    <w:rsid w:val="006C0349"/>
    <w:rsid w:val="006C2BD8"/>
    <w:rsid w:val="006C4A46"/>
    <w:rsid w:val="006E21AC"/>
    <w:rsid w:val="006F2E0F"/>
    <w:rsid w:val="00710CAD"/>
    <w:rsid w:val="00714C5A"/>
    <w:rsid w:val="00720D5B"/>
    <w:rsid w:val="00722CA0"/>
    <w:rsid w:val="007249C3"/>
    <w:rsid w:val="007255A3"/>
    <w:rsid w:val="00726076"/>
    <w:rsid w:val="00732241"/>
    <w:rsid w:val="007346E4"/>
    <w:rsid w:val="0073769B"/>
    <w:rsid w:val="007410FF"/>
    <w:rsid w:val="00742EA2"/>
    <w:rsid w:val="00745C04"/>
    <w:rsid w:val="00747348"/>
    <w:rsid w:val="00766737"/>
    <w:rsid w:val="00796618"/>
    <w:rsid w:val="00797CBC"/>
    <w:rsid w:val="007A090E"/>
    <w:rsid w:val="007A5012"/>
    <w:rsid w:val="007D018B"/>
    <w:rsid w:val="007D2187"/>
    <w:rsid w:val="007D5C53"/>
    <w:rsid w:val="007E52CC"/>
    <w:rsid w:val="0080077A"/>
    <w:rsid w:val="008051C6"/>
    <w:rsid w:val="008100F6"/>
    <w:rsid w:val="008145C7"/>
    <w:rsid w:val="00823D0A"/>
    <w:rsid w:val="008253DC"/>
    <w:rsid w:val="00832934"/>
    <w:rsid w:val="008342A8"/>
    <w:rsid w:val="00841025"/>
    <w:rsid w:val="00860B8C"/>
    <w:rsid w:val="00861158"/>
    <w:rsid w:val="00861B13"/>
    <w:rsid w:val="00867E2C"/>
    <w:rsid w:val="00882517"/>
    <w:rsid w:val="00883F78"/>
    <w:rsid w:val="00884934"/>
    <w:rsid w:val="00884FA4"/>
    <w:rsid w:val="00887A9B"/>
    <w:rsid w:val="00897518"/>
    <w:rsid w:val="008A49B3"/>
    <w:rsid w:val="008B45B4"/>
    <w:rsid w:val="008B58A0"/>
    <w:rsid w:val="008B7377"/>
    <w:rsid w:val="008C4734"/>
    <w:rsid w:val="008C5655"/>
    <w:rsid w:val="008D5537"/>
    <w:rsid w:val="008D7B28"/>
    <w:rsid w:val="008F02BC"/>
    <w:rsid w:val="008F737C"/>
    <w:rsid w:val="00905C3E"/>
    <w:rsid w:val="009230DA"/>
    <w:rsid w:val="00944413"/>
    <w:rsid w:val="00947F01"/>
    <w:rsid w:val="009510C3"/>
    <w:rsid w:val="0095374D"/>
    <w:rsid w:val="009630C5"/>
    <w:rsid w:val="0096675D"/>
    <w:rsid w:val="009714C5"/>
    <w:rsid w:val="009739D1"/>
    <w:rsid w:val="00982B47"/>
    <w:rsid w:val="0098697E"/>
    <w:rsid w:val="00994B2B"/>
    <w:rsid w:val="0099689F"/>
    <w:rsid w:val="009A765D"/>
    <w:rsid w:val="009A77E2"/>
    <w:rsid w:val="009B2BD6"/>
    <w:rsid w:val="009B4A9A"/>
    <w:rsid w:val="009B61CA"/>
    <w:rsid w:val="009C4620"/>
    <w:rsid w:val="009D40AE"/>
    <w:rsid w:val="009F6DE8"/>
    <w:rsid w:val="009F7E91"/>
    <w:rsid w:val="00A002DC"/>
    <w:rsid w:val="00A004C1"/>
    <w:rsid w:val="00A36E3F"/>
    <w:rsid w:val="00A438FF"/>
    <w:rsid w:val="00A44C08"/>
    <w:rsid w:val="00A4643F"/>
    <w:rsid w:val="00A6045A"/>
    <w:rsid w:val="00A660FA"/>
    <w:rsid w:val="00A663CC"/>
    <w:rsid w:val="00A6678A"/>
    <w:rsid w:val="00A70148"/>
    <w:rsid w:val="00A75CA7"/>
    <w:rsid w:val="00A81280"/>
    <w:rsid w:val="00A823E4"/>
    <w:rsid w:val="00A8767A"/>
    <w:rsid w:val="00A97F68"/>
    <w:rsid w:val="00AA7943"/>
    <w:rsid w:val="00AC3ACB"/>
    <w:rsid w:val="00AC729D"/>
    <w:rsid w:val="00AC7380"/>
    <w:rsid w:val="00AD71AE"/>
    <w:rsid w:val="00AD7DBB"/>
    <w:rsid w:val="00AF2948"/>
    <w:rsid w:val="00AF29C6"/>
    <w:rsid w:val="00AF633E"/>
    <w:rsid w:val="00B00734"/>
    <w:rsid w:val="00B01A3A"/>
    <w:rsid w:val="00B15348"/>
    <w:rsid w:val="00B15B84"/>
    <w:rsid w:val="00B25915"/>
    <w:rsid w:val="00B275D0"/>
    <w:rsid w:val="00B35974"/>
    <w:rsid w:val="00B446C9"/>
    <w:rsid w:val="00B4514D"/>
    <w:rsid w:val="00B50F72"/>
    <w:rsid w:val="00B6357C"/>
    <w:rsid w:val="00B71BB6"/>
    <w:rsid w:val="00B72F1A"/>
    <w:rsid w:val="00B73004"/>
    <w:rsid w:val="00B766AF"/>
    <w:rsid w:val="00B80492"/>
    <w:rsid w:val="00B8240E"/>
    <w:rsid w:val="00B848C0"/>
    <w:rsid w:val="00B91E81"/>
    <w:rsid w:val="00B94AED"/>
    <w:rsid w:val="00BA033D"/>
    <w:rsid w:val="00BA04E0"/>
    <w:rsid w:val="00BA59B0"/>
    <w:rsid w:val="00BB1299"/>
    <w:rsid w:val="00BB1B86"/>
    <w:rsid w:val="00BB2ED1"/>
    <w:rsid w:val="00BD052B"/>
    <w:rsid w:val="00BD2870"/>
    <w:rsid w:val="00BD4D54"/>
    <w:rsid w:val="00BE04CA"/>
    <w:rsid w:val="00BE2536"/>
    <w:rsid w:val="00BE269C"/>
    <w:rsid w:val="00C02062"/>
    <w:rsid w:val="00C041BB"/>
    <w:rsid w:val="00C05DD6"/>
    <w:rsid w:val="00C20FAA"/>
    <w:rsid w:val="00C31859"/>
    <w:rsid w:val="00C3386B"/>
    <w:rsid w:val="00C37BED"/>
    <w:rsid w:val="00C42038"/>
    <w:rsid w:val="00C4501D"/>
    <w:rsid w:val="00C46217"/>
    <w:rsid w:val="00C87B56"/>
    <w:rsid w:val="00C96B07"/>
    <w:rsid w:val="00CA1B06"/>
    <w:rsid w:val="00CA3E0F"/>
    <w:rsid w:val="00CA3E31"/>
    <w:rsid w:val="00CA64B6"/>
    <w:rsid w:val="00CB4EC4"/>
    <w:rsid w:val="00CB6286"/>
    <w:rsid w:val="00CB66A1"/>
    <w:rsid w:val="00CE41DE"/>
    <w:rsid w:val="00CF0163"/>
    <w:rsid w:val="00CF0DC4"/>
    <w:rsid w:val="00CF1492"/>
    <w:rsid w:val="00D0207F"/>
    <w:rsid w:val="00D02645"/>
    <w:rsid w:val="00D06225"/>
    <w:rsid w:val="00D1095F"/>
    <w:rsid w:val="00D10B93"/>
    <w:rsid w:val="00D11F34"/>
    <w:rsid w:val="00D13C68"/>
    <w:rsid w:val="00D16C84"/>
    <w:rsid w:val="00D227F0"/>
    <w:rsid w:val="00D278D9"/>
    <w:rsid w:val="00D37739"/>
    <w:rsid w:val="00D51E50"/>
    <w:rsid w:val="00D56C3B"/>
    <w:rsid w:val="00D63AB0"/>
    <w:rsid w:val="00D64049"/>
    <w:rsid w:val="00D66952"/>
    <w:rsid w:val="00D93BE8"/>
    <w:rsid w:val="00D94175"/>
    <w:rsid w:val="00DA59C0"/>
    <w:rsid w:val="00DB012C"/>
    <w:rsid w:val="00DB2BD9"/>
    <w:rsid w:val="00DB6B2E"/>
    <w:rsid w:val="00DD2301"/>
    <w:rsid w:val="00DD5F3E"/>
    <w:rsid w:val="00DE32C0"/>
    <w:rsid w:val="00DF322B"/>
    <w:rsid w:val="00DF4486"/>
    <w:rsid w:val="00DF4588"/>
    <w:rsid w:val="00E00C6B"/>
    <w:rsid w:val="00E0197B"/>
    <w:rsid w:val="00E02C38"/>
    <w:rsid w:val="00E14063"/>
    <w:rsid w:val="00E20958"/>
    <w:rsid w:val="00E23C0F"/>
    <w:rsid w:val="00E40A2A"/>
    <w:rsid w:val="00E41D0A"/>
    <w:rsid w:val="00E50CBF"/>
    <w:rsid w:val="00E56A1C"/>
    <w:rsid w:val="00E62205"/>
    <w:rsid w:val="00E76C2A"/>
    <w:rsid w:val="00E821C5"/>
    <w:rsid w:val="00E90C39"/>
    <w:rsid w:val="00E9482A"/>
    <w:rsid w:val="00EA0460"/>
    <w:rsid w:val="00EA1414"/>
    <w:rsid w:val="00EA5C1E"/>
    <w:rsid w:val="00EB4E2F"/>
    <w:rsid w:val="00EB7A82"/>
    <w:rsid w:val="00EC0845"/>
    <w:rsid w:val="00EC5237"/>
    <w:rsid w:val="00EE4168"/>
    <w:rsid w:val="00EF13C7"/>
    <w:rsid w:val="00EF3C23"/>
    <w:rsid w:val="00F0488D"/>
    <w:rsid w:val="00F049BD"/>
    <w:rsid w:val="00F06181"/>
    <w:rsid w:val="00F10EE5"/>
    <w:rsid w:val="00F1119F"/>
    <w:rsid w:val="00F13204"/>
    <w:rsid w:val="00F2475A"/>
    <w:rsid w:val="00F27A5C"/>
    <w:rsid w:val="00F3239B"/>
    <w:rsid w:val="00F34833"/>
    <w:rsid w:val="00F405F3"/>
    <w:rsid w:val="00F4641D"/>
    <w:rsid w:val="00F47C2F"/>
    <w:rsid w:val="00F5425E"/>
    <w:rsid w:val="00F5552E"/>
    <w:rsid w:val="00F55C5D"/>
    <w:rsid w:val="00F61A3A"/>
    <w:rsid w:val="00F7449D"/>
    <w:rsid w:val="00F7694B"/>
    <w:rsid w:val="00FA3F3D"/>
    <w:rsid w:val="00FA4EB8"/>
    <w:rsid w:val="00FA78F9"/>
    <w:rsid w:val="00FD1919"/>
    <w:rsid w:val="00FE00BF"/>
    <w:rsid w:val="00FE5B71"/>
    <w:rsid w:val="00FE6B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1280"/>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A81280"/>
    <w:pPr>
      <w:tabs>
        <w:tab w:val="center" w:pos="4320"/>
        <w:tab w:val="right" w:pos="8640"/>
      </w:tabs>
    </w:pPr>
  </w:style>
  <w:style w:type="character" w:styleId="PageNumber">
    <w:name w:val="page number"/>
    <w:basedOn w:val="DefaultParagraphFont"/>
    <w:rsid w:val="00A8128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Phụ lục 2</vt:lpstr>
    </vt:vector>
  </TitlesOfParts>
  <Company>HOME</Company>
  <LinksUpToDate>false</LinksUpToDate>
  <CharactersWithSpaces>5951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2</dc:title>
  <dc:subject/>
  <dc:creator>User</dc:creator>
  <cp:keywords/>
  <dc:description/>
  <cp:lastModifiedBy>afdf</cp:lastModifiedBy>
  <cp:revision>2</cp:revision>
  <dcterms:created xsi:type="dcterms:W3CDTF">2013-01-03T02:39:00Z</dcterms:created>
  <dcterms:modified xsi:type="dcterms:W3CDTF">2013-01-03T02:39:00Z</dcterms:modified>
</cp:coreProperties>
</file>